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2480B" w14:textId="77777777" w:rsidR="00BE66A6" w:rsidRDefault="00BE66A6" w:rsidP="00CF22C7">
      <w:pPr>
        <w:pStyle w:val="Corpsdetexte"/>
        <w:ind w:left="1176" w:right="1173"/>
        <w:rPr>
          <w:rFonts w:ascii="Arial" w:hAnsi="Arial" w:cs="Arial"/>
          <w:b/>
          <w:bCs/>
          <w:color w:val="365F91"/>
          <w:sz w:val="28"/>
          <w:szCs w:val="28"/>
        </w:rPr>
      </w:pPr>
    </w:p>
    <w:p w14:paraId="0112BA7F" w14:textId="18ED1472" w:rsidR="00BE66A6" w:rsidRDefault="00A71C6A">
      <w:pPr>
        <w:pStyle w:val="Corpsdetexte"/>
        <w:ind w:left="1176" w:right="1173"/>
        <w:jc w:val="center"/>
        <w:rPr>
          <w:rFonts w:ascii="Arial" w:hAnsi="Arial" w:cs="Arial"/>
          <w:b/>
          <w:bCs/>
          <w:color w:val="365F91"/>
          <w:sz w:val="32"/>
          <w:szCs w:val="32"/>
        </w:rPr>
      </w:pPr>
      <w:r>
        <w:rPr>
          <w:rFonts w:ascii="Arial" w:hAnsi="Arial" w:cs="Arial"/>
          <w:b/>
          <w:bCs/>
          <w:color w:val="365F91"/>
          <w:sz w:val="32"/>
          <w:szCs w:val="32"/>
        </w:rPr>
        <w:t xml:space="preserve">Annexe </w:t>
      </w:r>
      <w:r w:rsidR="00CF22C7">
        <w:rPr>
          <w:rFonts w:ascii="Arial" w:hAnsi="Arial" w:cs="Arial"/>
          <w:b/>
          <w:bCs/>
          <w:color w:val="365F91"/>
          <w:sz w:val="32"/>
          <w:szCs w:val="32"/>
        </w:rPr>
        <w:t>6</w:t>
      </w:r>
      <w:r>
        <w:rPr>
          <w:rFonts w:ascii="Arial" w:hAnsi="Arial" w:cs="Arial"/>
          <w:b/>
          <w:bCs/>
          <w:color w:val="365F91"/>
          <w:sz w:val="32"/>
          <w:szCs w:val="32"/>
        </w:rPr>
        <w:t xml:space="preserve"> - Obligation de collecte des données </w:t>
      </w:r>
      <w:r>
        <w:rPr>
          <w:rFonts w:ascii="Arial" w:hAnsi="Arial" w:cs="Arial"/>
          <w:b/>
          <w:bCs/>
          <w:color w:val="365F91"/>
          <w:sz w:val="32"/>
          <w:szCs w:val="32"/>
        </w:rPr>
        <w:br/>
        <w:t>et guide d’utilisation des indicateurs</w:t>
      </w:r>
    </w:p>
    <w:p w14:paraId="46894E36" w14:textId="77777777" w:rsidR="00BE66A6" w:rsidRDefault="00BE66A6">
      <w:pPr>
        <w:pStyle w:val="Corpsdetexte"/>
        <w:ind w:left="1176" w:right="1173"/>
        <w:jc w:val="both"/>
        <w:rPr>
          <w:rFonts w:ascii="Arial" w:hAnsi="Arial" w:cs="Arial"/>
          <w:color w:val="17365D"/>
          <w:sz w:val="24"/>
          <w:szCs w:val="24"/>
        </w:rPr>
      </w:pPr>
    </w:p>
    <w:p w14:paraId="1C8A50AD" w14:textId="77777777" w:rsidR="00BE66A6" w:rsidRDefault="00BE66A6">
      <w:pPr>
        <w:pStyle w:val="Corpsdetexte"/>
        <w:ind w:left="1176" w:right="1169"/>
        <w:jc w:val="both"/>
        <w:rPr>
          <w:rFonts w:ascii="Arial" w:hAnsi="Arial" w:cs="Arial"/>
          <w:b/>
          <w:sz w:val="24"/>
          <w:szCs w:val="24"/>
          <w:u w:val="single"/>
        </w:rPr>
      </w:pPr>
    </w:p>
    <w:p w14:paraId="0145C0BD" w14:textId="77777777" w:rsidR="00BE66A6" w:rsidRDefault="00A71C6A">
      <w:pPr>
        <w:pStyle w:val="Corpsdetexte"/>
        <w:ind w:left="1176" w:right="1169"/>
        <w:jc w:val="both"/>
        <w:rPr>
          <w:rFonts w:ascii="Arial" w:hAnsi="Arial" w:cs="Arial"/>
          <w:b/>
          <w:sz w:val="24"/>
          <w:szCs w:val="24"/>
          <w:u w:val="single"/>
        </w:rPr>
      </w:pPr>
      <w:r>
        <w:rPr>
          <w:rFonts w:ascii="Arial" w:hAnsi="Arial" w:cs="Arial"/>
          <w:b/>
          <w:sz w:val="24"/>
          <w:szCs w:val="24"/>
          <w:u w:val="single"/>
        </w:rPr>
        <w:t>Recueillir des informations quantifiées : une obligation règlementaire</w:t>
      </w:r>
    </w:p>
    <w:p w14:paraId="6BFFB580" w14:textId="77777777" w:rsidR="00BE66A6" w:rsidRDefault="00BE66A6">
      <w:pPr>
        <w:pStyle w:val="Corpsdetexte"/>
        <w:ind w:left="1176" w:right="1169"/>
        <w:jc w:val="both"/>
        <w:rPr>
          <w:rFonts w:ascii="Arial" w:hAnsi="Arial" w:cs="Arial"/>
        </w:rPr>
      </w:pPr>
    </w:p>
    <w:p w14:paraId="4BE2DB19" w14:textId="77777777" w:rsidR="00BE66A6" w:rsidRDefault="00A71C6A">
      <w:pPr>
        <w:pStyle w:val="Corpsdetexte"/>
        <w:ind w:left="1176" w:right="1169"/>
        <w:jc w:val="both"/>
        <w:rPr>
          <w:rFonts w:ascii="Arial" w:hAnsi="Arial" w:cs="Arial"/>
        </w:rPr>
      </w:pPr>
      <w:r>
        <w:rPr>
          <w:rFonts w:ascii="Arial" w:hAnsi="Arial" w:cs="Arial"/>
        </w:rPr>
        <w:t xml:space="preserve">La Commission européenne a renforcé les exigences en matière de suivi des objectifs à atteindre par les programmes cofinancés par les fonds européens structurels et d’investissement (FESI). Ces objectifs se traduisent par des indicateurs de suivi à l’échelle des projets portés par les bénéficiaires. </w:t>
      </w:r>
    </w:p>
    <w:p w14:paraId="58FC2D2A" w14:textId="77777777" w:rsidR="00BE66A6" w:rsidRDefault="00BE66A6">
      <w:pPr>
        <w:pStyle w:val="Corpsdetexte"/>
        <w:ind w:left="1176" w:right="1169"/>
        <w:jc w:val="both"/>
        <w:rPr>
          <w:rFonts w:ascii="Arial" w:hAnsi="Arial" w:cs="Arial"/>
        </w:rPr>
      </w:pPr>
    </w:p>
    <w:p w14:paraId="5D5D915A" w14:textId="77777777" w:rsidR="00BE66A6" w:rsidRDefault="00A71C6A">
      <w:pPr>
        <w:pStyle w:val="Corpsdetexte"/>
        <w:ind w:left="1176" w:right="1169"/>
        <w:jc w:val="both"/>
        <w:rPr>
          <w:rFonts w:ascii="Arial" w:hAnsi="Arial" w:cs="Arial"/>
        </w:rPr>
      </w:pPr>
      <w:r>
        <w:rPr>
          <w:rFonts w:ascii="Arial" w:hAnsi="Arial" w:cs="Arial"/>
        </w:rPr>
        <w:t>Ces indicateurs sont de deux types :</w:t>
      </w:r>
    </w:p>
    <w:p w14:paraId="699E1584" w14:textId="77777777" w:rsidR="00BE66A6" w:rsidRDefault="00A71C6A">
      <w:pPr>
        <w:pStyle w:val="Corpsdetexte"/>
        <w:numPr>
          <w:ilvl w:val="0"/>
          <w:numId w:val="1"/>
        </w:numPr>
        <w:ind w:right="1169"/>
        <w:jc w:val="both"/>
      </w:pPr>
      <w:r>
        <w:rPr>
          <w:rFonts w:ascii="Arial" w:hAnsi="Arial" w:cs="Arial"/>
          <w:b/>
        </w:rPr>
        <w:t>réalisation</w:t>
      </w:r>
      <w:r>
        <w:rPr>
          <w:rFonts w:ascii="Arial" w:hAnsi="Arial" w:cs="Arial"/>
        </w:rPr>
        <w:t> : livrables de l’opération ;</w:t>
      </w:r>
    </w:p>
    <w:p w14:paraId="70AC5167" w14:textId="77777777" w:rsidR="00BE66A6" w:rsidRDefault="00A71C6A">
      <w:pPr>
        <w:pStyle w:val="Corpsdetexte"/>
        <w:numPr>
          <w:ilvl w:val="0"/>
          <w:numId w:val="1"/>
        </w:numPr>
        <w:ind w:right="1169"/>
        <w:jc w:val="both"/>
      </w:pPr>
      <w:r>
        <w:rPr>
          <w:rFonts w:ascii="Arial" w:hAnsi="Arial" w:cs="Arial"/>
          <w:b/>
        </w:rPr>
        <w:t>résultat</w:t>
      </w:r>
      <w:r>
        <w:rPr>
          <w:rFonts w:ascii="Arial" w:hAnsi="Arial" w:cs="Arial"/>
        </w:rPr>
        <w:t> : effets directs des réalisations sur le territoire francilien.</w:t>
      </w:r>
    </w:p>
    <w:p w14:paraId="1DBBBE34" w14:textId="77777777" w:rsidR="00BE66A6" w:rsidRDefault="00BE66A6">
      <w:pPr>
        <w:pStyle w:val="Corpsdetexte"/>
        <w:ind w:left="1176" w:right="1169"/>
        <w:jc w:val="both"/>
        <w:rPr>
          <w:rFonts w:ascii="Arial" w:hAnsi="Arial" w:cs="Arial"/>
        </w:rPr>
      </w:pPr>
    </w:p>
    <w:p w14:paraId="467C8604" w14:textId="77777777" w:rsidR="00BE66A6" w:rsidRDefault="00A71C6A">
      <w:pPr>
        <w:pStyle w:val="Corpsdetexte"/>
        <w:ind w:left="1176" w:right="1169"/>
        <w:jc w:val="both"/>
        <w:rPr>
          <w:rFonts w:ascii="Arial" w:hAnsi="Arial" w:cs="Arial"/>
        </w:rPr>
      </w:pPr>
      <w:r>
        <w:rPr>
          <w:rFonts w:ascii="Arial" w:hAnsi="Arial" w:cs="Arial"/>
        </w:rPr>
        <w:t xml:space="preserve">La Région, en tant qu’autorité de gestion des fonds européens, rend compte deux fois par an de ces indicateurs de suivi à la Commission européenne. </w:t>
      </w:r>
    </w:p>
    <w:p w14:paraId="322E18FA" w14:textId="77777777" w:rsidR="00BE66A6" w:rsidRDefault="00BE66A6">
      <w:pPr>
        <w:pStyle w:val="Corpsdetexte"/>
        <w:ind w:left="1176" w:right="1169"/>
        <w:jc w:val="both"/>
        <w:rPr>
          <w:rFonts w:ascii="Arial" w:hAnsi="Arial" w:cs="Arial"/>
        </w:rPr>
      </w:pPr>
    </w:p>
    <w:p w14:paraId="2D80FA46" w14:textId="77777777" w:rsidR="00BE66A6" w:rsidRDefault="00A71C6A">
      <w:pPr>
        <w:pStyle w:val="Corpsdetexte"/>
        <w:ind w:left="1276" w:right="1169" w:hanging="142"/>
        <w:jc w:val="both"/>
        <w:rPr>
          <w:rFonts w:ascii="Arial" w:hAnsi="Arial" w:cs="Arial"/>
        </w:rPr>
      </w:pPr>
      <w:r>
        <w:rPr>
          <w:rFonts w:ascii="Arial" w:hAnsi="Arial" w:cs="Arial"/>
        </w:rPr>
        <w:t>Ce suivi est central car la Région :</w:t>
      </w:r>
    </w:p>
    <w:p w14:paraId="480E25E6" w14:textId="77777777" w:rsidR="00BE66A6" w:rsidRDefault="00A71C6A">
      <w:pPr>
        <w:pStyle w:val="Corpsdetexte"/>
        <w:numPr>
          <w:ilvl w:val="0"/>
          <w:numId w:val="1"/>
        </w:numPr>
        <w:ind w:right="1169"/>
        <w:jc w:val="both"/>
        <w:rPr>
          <w:rFonts w:ascii="Arial" w:hAnsi="Arial" w:cs="Arial"/>
        </w:rPr>
      </w:pPr>
      <w:r>
        <w:rPr>
          <w:rFonts w:ascii="Arial" w:hAnsi="Arial" w:cs="Arial"/>
        </w:rPr>
        <w:t>s’est engagée à atteindre des objectifs en 2029 et votre projet participe directement à l’atteinte de ces cibles ;</w:t>
      </w:r>
    </w:p>
    <w:p w14:paraId="61D0B38E" w14:textId="77777777" w:rsidR="00BE66A6" w:rsidRDefault="00A71C6A">
      <w:pPr>
        <w:pStyle w:val="Corpsdetexte"/>
        <w:numPr>
          <w:ilvl w:val="0"/>
          <w:numId w:val="1"/>
        </w:numPr>
        <w:ind w:right="1169"/>
        <w:jc w:val="both"/>
        <w:rPr>
          <w:rFonts w:ascii="Arial" w:hAnsi="Arial" w:cs="Arial"/>
        </w:rPr>
      </w:pPr>
      <w:r>
        <w:rPr>
          <w:rFonts w:ascii="Arial" w:hAnsi="Arial" w:cs="Arial"/>
        </w:rPr>
        <w:t>doit s’assurer que la donnée est cohérente, exacte et qu’elle répond aux exigences de la Commission européenne en termes de qualité et de fiabilité (article 69 paragraphe 4 du règlement 2021/1060).</w:t>
      </w:r>
    </w:p>
    <w:p w14:paraId="1E8547F9" w14:textId="77777777" w:rsidR="00BE66A6" w:rsidRDefault="00BE66A6">
      <w:pPr>
        <w:pStyle w:val="Corpsdetexte"/>
        <w:ind w:left="1176" w:right="1169"/>
        <w:jc w:val="both"/>
        <w:rPr>
          <w:rFonts w:ascii="Arial" w:hAnsi="Arial" w:cs="Arial"/>
        </w:rPr>
      </w:pPr>
    </w:p>
    <w:p w14:paraId="7A26D8D2" w14:textId="77777777" w:rsidR="00BE66A6" w:rsidRDefault="00A71C6A">
      <w:pPr>
        <w:pStyle w:val="Corpsdetexte"/>
        <w:ind w:left="1176" w:right="1169"/>
        <w:jc w:val="both"/>
        <w:rPr>
          <w:rFonts w:ascii="Arial" w:hAnsi="Arial" w:cs="Arial"/>
        </w:rPr>
      </w:pPr>
      <w:r>
        <w:rPr>
          <w:rFonts w:ascii="Arial" w:hAnsi="Arial" w:cs="Arial"/>
        </w:rPr>
        <w:t>Par conséquent, les indicateurs font l’objet d’un contrôle au même titre que l’ensemble du projet :</w:t>
      </w:r>
    </w:p>
    <w:p w14:paraId="3F58E76D" w14:textId="77777777" w:rsidR="00BE66A6" w:rsidRDefault="00A71C6A">
      <w:pPr>
        <w:pStyle w:val="Corpsdetexte"/>
        <w:numPr>
          <w:ilvl w:val="0"/>
          <w:numId w:val="1"/>
        </w:numPr>
        <w:ind w:right="1169"/>
        <w:jc w:val="both"/>
      </w:pPr>
      <w:r>
        <w:rPr>
          <w:rFonts w:ascii="Arial" w:hAnsi="Arial" w:cs="Arial"/>
        </w:rPr>
        <w:t>lors de l’</w:t>
      </w:r>
      <w:r>
        <w:rPr>
          <w:rFonts w:ascii="Arial" w:hAnsi="Arial" w:cs="Arial"/>
          <w:b/>
          <w:bCs/>
        </w:rPr>
        <w:t>instruction</w:t>
      </w:r>
      <w:r>
        <w:rPr>
          <w:rFonts w:ascii="Arial" w:hAnsi="Arial" w:cs="Arial"/>
        </w:rPr>
        <w:t xml:space="preserve"> de votre dossier, les instructeurs vérifieront la bonne adéquation du choix des indicateurs retenus pour l’opération avec l’action concernée, des valeurs prévisionnelles et de références renseignées ainsi que des pièces justificatives que vous serez en mesure de fournir ;</w:t>
      </w:r>
    </w:p>
    <w:p w14:paraId="50B3133E" w14:textId="77777777" w:rsidR="00BE66A6" w:rsidRDefault="00A71C6A">
      <w:pPr>
        <w:pStyle w:val="Corpsdetexte"/>
        <w:numPr>
          <w:ilvl w:val="0"/>
          <w:numId w:val="1"/>
        </w:numPr>
        <w:ind w:right="1169"/>
        <w:jc w:val="both"/>
      </w:pPr>
      <w:r>
        <w:rPr>
          <w:rFonts w:ascii="Arial" w:hAnsi="Arial" w:cs="Arial"/>
        </w:rPr>
        <w:t xml:space="preserve">lors d’une </w:t>
      </w:r>
      <w:r>
        <w:rPr>
          <w:rFonts w:ascii="Arial" w:hAnsi="Arial" w:cs="Arial"/>
          <w:b/>
          <w:bCs/>
        </w:rPr>
        <w:t>demande de paiement</w:t>
      </w:r>
      <w:r>
        <w:rPr>
          <w:rFonts w:ascii="Arial" w:hAnsi="Arial" w:cs="Arial"/>
        </w:rPr>
        <w:t>, les instructeurs valideront les valeurs des indicateurs retenues à la fin de l’exécution physique et financière du projet.</w:t>
      </w:r>
    </w:p>
    <w:p w14:paraId="00F618C7" w14:textId="77777777" w:rsidR="00BE66A6" w:rsidRDefault="00BE66A6">
      <w:pPr>
        <w:pStyle w:val="Corpsdetexte"/>
        <w:ind w:right="1169"/>
        <w:jc w:val="both"/>
        <w:rPr>
          <w:rFonts w:ascii="Arial" w:hAnsi="Arial" w:cs="Arial"/>
        </w:rPr>
      </w:pPr>
    </w:p>
    <w:p w14:paraId="7C21494E" w14:textId="77777777" w:rsidR="00BE66A6" w:rsidRDefault="00A71C6A">
      <w:pPr>
        <w:pStyle w:val="Corpsdetexte"/>
        <w:ind w:left="1176" w:right="1169"/>
        <w:jc w:val="both"/>
        <w:rPr>
          <w:rFonts w:ascii="Arial" w:hAnsi="Arial" w:cs="Arial"/>
          <w:b/>
        </w:rPr>
      </w:pPr>
      <w:r>
        <w:rPr>
          <w:rFonts w:ascii="Arial" w:hAnsi="Arial" w:cs="Arial"/>
          <w:b/>
        </w:rPr>
        <w:t>La non-communication de ces éléments sera susceptible d’empêcher le versement du solde et le reversement des avance et acomptes.</w:t>
      </w:r>
    </w:p>
    <w:p w14:paraId="24062C53" w14:textId="77777777" w:rsidR="00BE66A6" w:rsidRDefault="00A71C6A">
      <w:pPr>
        <w:rPr>
          <w:rFonts w:ascii="Arial" w:hAnsi="Arial" w:cs="Arial"/>
          <w:bCs/>
        </w:rPr>
      </w:pPr>
      <w:r>
        <w:br w:type="page"/>
      </w:r>
    </w:p>
    <w:p w14:paraId="1BDF3C41" w14:textId="77777777" w:rsidR="00BE66A6" w:rsidRDefault="00A71C6A">
      <w:pPr>
        <w:pStyle w:val="Corpsdetexte"/>
        <w:ind w:left="1176" w:right="1169"/>
        <w:jc w:val="both"/>
        <w:rPr>
          <w:rFonts w:ascii="Arial" w:hAnsi="Arial" w:cs="Arial"/>
          <w:b/>
          <w:sz w:val="24"/>
          <w:szCs w:val="24"/>
          <w:u w:val="single"/>
        </w:rPr>
      </w:pPr>
      <w:r>
        <w:rPr>
          <w:rFonts w:ascii="Arial" w:hAnsi="Arial" w:cs="Arial"/>
          <w:b/>
          <w:sz w:val="24"/>
          <w:szCs w:val="24"/>
          <w:u w:val="single"/>
        </w:rPr>
        <w:lastRenderedPageBreak/>
        <w:t>Informations collectées auprès des porteurs de projets</w:t>
      </w:r>
    </w:p>
    <w:p w14:paraId="5E1743C2" w14:textId="77777777" w:rsidR="00BE66A6" w:rsidRDefault="00BE66A6">
      <w:pPr>
        <w:pStyle w:val="Corpsdetexte"/>
        <w:ind w:left="1176" w:right="1169"/>
        <w:jc w:val="both"/>
        <w:rPr>
          <w:rFonts w:ascii="Arial" w:hAnsi="Arial" w:cs="Arial"/>
        </w:rPr>
      </w:pPr>
    </w:p>
    <w:p w14:paraId="3D8F4185" w14:textId="77777777" w:rsidR="00BE66A6" w:rsidRDefault="00A71C6A">
      <w:pPr>
        <w:pStyle w:val="Corpsdetexte"/>
        <w:ind w:left="1176" w:right="1169"/>
        <w:jc w:val="both"/>
        <w:rPr>
          <w:rFonts w:ascii="Arial" w:hAnsi="Arial" w:cs="Arial"/>
        </w:rPr>
      </w:pPr>
      <w:r>
        <w:rPr>
          <w:rFonts w:ascii="Arial" w:hAnsi="Arial" w:cs="Arial"/>
        </w:rPr>
        <w:t>Au titre de cet appel, les indicateurs sont les suivants :</w:t>
      </w:r>
    </w:p>
    <w:p w14:paraId="3BD14F34" w14:textId="77777777" w:rsidR="00BE66A6" w:rsidRDefault="00BE66A6">
      <w:pPr>
        <w:pStyle w:val="Corpsdetexte"/>
        <w:ind w:left="1176" w:right="1169"/>
        <w:jc w:val="both"/>
        <w:rPr>
          <w:rFonts w:ascii="Arial" w:hAnsi="Arial" w:cs="Arial"/>
        </w:rPr>
      </w:pPr>
    </w:p>
    <w:tbl>
      <w:tblPr>
        <w:tblW w:w="9158" w:type="dxa"/>
        <w:tblInd w:w="1185" w:type="dxa"/>
        <w:tblLayout w:type="fixed"/>
        <w:tblLook w:val="0000" w:firstRow="0" w:lastRow="0" w:firstColumn="0" w:lastColumn="0" w:noHBand="0" w:noVBand="0"/>
      </w:tblPr>
      <w:tblGrid>
        <w:gridCol w:w="2609"/>
        <w:gridCol w:w="6549"/>
      </w:tblGrid>
      <w:tr w:rsidR="00BE66A6" w14:paraId="11EBA9F9" w14:textId="77777777">
        <w:tc>
          <w:tcPr>
            <w:tcW w:w="2609" w:type="dxa"/>
            <w:tcBorders>
              <w:top w:val="single" w:sz="4" w:space="0" w:color="000000"/>
              <w:left w:val="single" w:sz="4" w:space="0" w:color="000000"/>
              <w:bottom w:val="single" w:sz="4" w:space="0" w:color="000000"/>
              <w:right w:val="single" w:sz="4" w:space="0" w:color="000000"/>
            </w:tcBorders>
            <w:vAlign w:val="center"/>
          </w:tcPr>
          <w:p w14:paraId="67D84718" w14:textId="77777777" w:rsidR="00BE66A6" w:rsidRDefault="00A71C6A">
            <w:pPr>
              <w:jc w:val="center"/>
              <w:rPr>
                <w:rFonts w:ascii="Arial" w:hAnsi="Arial" w:cs="Arial"/>
                <w:b/>
                <w:bCs/>
              </w:rPr>
            </w:pPr>
            <w:r>
              <w:rPr>
                <w:rFonts w:ascii="Arial" w:hAnsi="Arial" w:cs="Arial"/>
                <w:b/>
                <w:bCs/>
              </w:rPr>
              <w:t>Référence de l’indicateur e-Synergie</w:t>
            </w:r>
          </w:p>
        </w:tc>
        <w:tc>
          <w:tcPr>
            <w:tcW w:w="6548" w:type="dxa"/>
            <w:tcBorders>
              <w:top w:val="single" w:sz="4" w:space="0" w:color="000000"/>
              <w:left w:val="single" w:sz="4" w:space="0" w:color="000000"/>
              <w:bottom w:val="single" w:sz="4" w:space="0" w:color="000000"/>
              <w:right w:val="single" w:sz="4" w:space="0" w:color="000000"/>
            </w:tcBorders>
            <w:vAlign w:val="center"/>
          </w:tcPr>
          <w:p w14:paraId="6F2C4F50" w14:textId="77777777" w:rsidR="00BE66A6" w:rsidRDefault="00A71C6A">
            <w:pPr>
              <w:jc w:val="center"/>
              <w:rPr>
                <w:rFonts w:ascii="Arial" w:hAnsi="Arial" w:cs="Arial"/>
                <w:b/>
                <w:bCs/>
              </w:rPr>
            </w:pPr>
            <w:r>
              <w:rPr>
                <w:rFonts w:ascii="Arial" w:hAnsi="Arial" w:cs="Arial"/>
                <w:b/>
                <w:bCs/>
              </w:rPr>
              <w:t>Définition</w:t>
            </w:r>
          </w:p>
        </w:tc>
      </w:tr>
      <w:tr w:rsidR="00BE66A6" w14:paraId="22C4E5CA" w14:textId="77777777">
        <w:trPr>
          <w:trHeight w:val="340"/>
        </w:trPr>
        <w:tc>
          <w:tcPr>
            <w:tcW w:w="2609" w:type="dxa"/>
            <w:tcBorders>
              <w:top w:val="single" w:sz="4" w:space="0" w:color="000000"/>
              <w:left w:val="single" w:sz="4" w:space="0" w:color="000000"/>
              <w:bottom w:val="single" w:sz="4" w:space="0" w:color="000000"/>
              <w:right w:val="single" w:sz="4" w:space="0" w:color="000000"/>
            </w:tcBorders>
            <w:vAlign w:val="center"/>
          </w:tcPr>
          <w:p w14:paraId="18E47D51" w14:textId="77777777" w:rsidR="00BE66A6" w:rsidRDefault="00A71C6A">
            <w:pPr>
              <w:jc w:val="center"/>
              <w:rPr>
                <w:rFonts w:ascii="Arial" w:hAnsi="Arial" w:cs="Arial"/>
              </w:rPr>
            </w:pPr>
            <w:r>
              <w:rPr>
                <w:rFonts w:ascii="Arial" w:hAnsi="Arial" w:cs="Arial"/>
              </w:rPr>
              <w:t>ISO2.4</w:t>
            </w:r>
          </w:p>
        </w:tc>
        <w:tc>
          <w:tcPr>
            <w:tcW w:w="6548" w:type="dxa"/>
            <w:tcBorders>
              <w:top w:val="single" w:sz="4" w:space="0" w:color="000000"/>
              <w:left w:val="single" w:sz="4" w:space="0" w:color="000000"/>
              <w:bottom w:val="single" w:sz="4" w:space="0" w:color="000000"/>
              <w:right w:val="single" w:sz="4" w:space="0" w:color="000000"/>
            </w:tcBorders>
            <w:vAlign w:val="center"/>
          </w:tcPr>
          <w:p w14:paraId="10A84753" w14:textId="77777777" w:rsidR="00BE66A6" w:rsidRDefault="00A71C6A">
            <w:pPr>
              <w:jc w:val="both"/>
              <w:rPr>
                <w:rFonts w:ascii="Arial" w:hAnsi="Arial" w:cs="Arial"/>
              </w:rPr>
            </w:pPr>
            <w:r>
              <w:rPr>
                <w:rFonts w:ascii="Arial" w:hAnsi="Arial" w:cs="Arial"/>
              </w:rPr>
              <w:t>Nombre d'actions de prévention aux risques d'inondations</w:t>
            </w:r>
          </w:p>
        </w:tc>
      </w:tr>
      <w:tr w:rsidR="00BE66A6" w14:paraId="13F9B4E5" w14:textId="77777777">
        <w:trPr>
          <w:trHeight w:val="340"/>
        </w:trPr>
        <w:tc>
          <w:tcPr>
            <w:tcW w:w="2609" w:type="dxa"/>
            <w:tcBorders>
              <w:top w:val="single" w:sz="4" w:space="0" w:color="000000"/>
              <w:left w:val="single" w:sz="4" w:space="0" w:color="000000"/>
              <w:bottom w:val="single" w:sz="4" w:space="0" w:color="000000"/>
              <w:right w:val="single" w:sz="4" w:space="0" w:color="000000"/>
            </w:tcBorders>
            <w:vAlign w:val="center"/>
          </w:tcPr>
          <w:p w14:paraId="76B0376B" w14:textId="77777777" w:rsidR="00BE66A6" w:rsidRDefault="00A71C6A">
            <w:pPr>
              <w:jc w:val="center"/>
              <w:rPr>
                <w:rFonts w:ascii="Arial" w:hAnsi="Arial" w:cs="Arial"/>
              </w:rPr>
            </w:pPr>
            <w:r>
              <w:rPr>
                <w:rFonts w:ascii="Arial" w:hAnsi="Arial" w:cs="Arial"/>
              </w:rPr>
              <w:t>RCO25</w:t>
            </w:r>
          </w:p>
        </w:tc>
        <w:tc>
          <w:tcPr>
            <w:tcW w:w="6548" w:type="dxa"/>
            <w:tcBorders>
              <w:top w:val="single" w:sz="4" w:space="0" w:color="000000"/>
              <w:left w:val="single" w:sz="4" w:space="0" w:color="000000"/>
              <w:bottom w:val="single" w:sz="4" w:space="0" w:color="000000"/>
              <w:right w:val="single" w:sz="4" w:space="0" w:color="000000"/>
            </w:tcBorders>
            <w:vAlign w:val="center"/>
          </w:tcPr>
          <w:p w14:paraId="614AF72F" w14:textId="77777777" w:rsidR="00BE66A6" w:rsidRDefault="00A71C6A">
            <w:pPr>
              <w:jc w:val="both"/>
              <w:rPr>
                <w:rFonts w:ascii="Arial" w:hAnsi="Arial" w:cs="Arial"/>
              </w:rPr>
            </w:pPr>
            <w:r>
              <w:rPr>
                <w:rFonts w:ascii="Arial" w:hAnsi="Arial" w:cs="Arial"/>
              </w:rPr>
              <w:t>Ouvrages nouveaux ou renforcés de protection contre les inondations sur le littoral, les rives de cours d’eau et autour des lacs</w:t>
            </w:r>
          </w:p>
        </w:tc>
      </w:tr>
      <w:tr w:rsidR="00BE66A6" w14:paraId="2051E406" w14:textId="77777777">
        <w:trPr>
          <w:trHeight w:val="340"/>
        </w:trPr>
        <w:tc>
          <w:tcPr>
            <w:tcW w:w="2609" w:type="dxa"/>
            <w:tcBorders>
              <w:top w:val="single" w:sz="4" w:space="0" w:color="000000"/>
              <w:left w:val="single" w:sz="4" w:space="0" w:color="000000"/>
              <w:bottom w:val="single" w:sz="4" w:space="0" w:color="000000"/>
              <w:right w:val="single" w:sz="4" w:space="0" w:color="000000"/>
            </w:tcBorders>
            <w:vAlign w:val="center"/>
          </w:tcPr>
          <w:p w14:paraId="6D9D8177" w14:textId="77777777" w:rsidR="00BE66A6" w:rsidRDefault="00A71C6A">
            <w:pPr>
              <w:jc w:val="center"/>
              <w:rPr>
                <w:rFonts w:ascii="Arial" w:hAnsi="Arial" w:cs="Arial"/>
              </w:rPr>
            </w:pPr>
            <w:r>
              <w:rPr>
                <w:rFonts w:ascii="Arial" w:hAnsi="Arial" w:cs="Arial"/>
              </w:rPr>
              <w:t>RCO26</w:t>
            </w:r>
          </w:p>
        </w:tc>
        <w:tc>
          <w:tcPr>
            <w:tcW w:w="6548" w:type="dxa"/>
            <w:tcBorders>
              <w:top w:val="single" w:sz="4" w:space="0" w:color="000000"/>
              <w:left w:val="single" w:sz="4" w:space="0" w:color="000000"/>
              <w:bottom w:val="single" w:sz="4" w:space="0" w:color="000000"/>
              <w:right w:val="single" w:sz="4" w:space="0" w:color="000000"/>
            </w:tcBorders>
            <w:vAlign w:val="center"/>
          </w:tcPr>
          <w:p w14:paraId="4E7CAEFC" w14:textId="77777777" w:rsidR="00BE66A6" w:rsidRDefault="00A71C6A">
            <w:pPr>
              <w:jc w:val="both"/>
              <w:rPr>
                <w:rFonts w:ascii="Arial" w:hAnsi="Arial" w:cs="Arial"/>
              </w:rPr>
            </w:pPr>
            <w:r>
              <w:rPr>
                <w:rFonts w:ascii="Arial" w:hAnsi="Arial" w:cs="Arial"/>
              </w:rPr>
              <w:t>Infrastructures vertes mises en place ou réaménagées en vue de l’adaptation au changement climatique</w:t>
            </w:r>
          </w:p>
        </w:tc>
      </w:tr>
      <w:tr w:rsidR="00FE1EA1" w14:paraId="0C773450" w14:textId="77777777">
        <w:trPr>
          <w:trHeight w:val="340"/>
        </w:trPr>
        <w:tc>
          <w:tcPr>
            <w:tcW w:w="2609" w:type="dxa"/>
            <w:tcBorders>
              <w:top w:val="single" w:sz="4" w:space="0" w:color="000000"/>
              <w:left w:val="single" w:sz="4" w:space="0" w:color="000000"/>
              <w:bottom w:val="single" w:sz="4" w:space="0" w:color="000000"/>
              <w:right w:val="single" w:sz="4" w:space="0" w:color="000000"/>
            </w:tcBorders>
            <w:vAlign w:val="center"/>
          </w:tcPr>
          <w:p w14:paraId="176459D9" w14:textId="7D07B4D7" w:rsidR="00FE1EA1" w:rsidRDefault="00FE1EA1">
            <w:pPr>
              <w:jc w:val="center"/>
              <w:rPr>
                <w:rFonts w:ascii="Arial" w:hAnsi="Arial" w:cs="Arial"/>
              </w:rPr>
            </w:pPr>
            <w:r>
              <w:rPr>
                <w:rFonts w:ascii="Arial" w:hAnsi="Arial" w:cs="Arial"/>
              </w:rPr>
              <w:t>RCR35</w:t>
            </w:r>
          </w:p>
        </w:tc>
        <w:tc>
          <w:tcPr>
            <w:tcW w:w="6548" w:type="dxa"/>
            <w:tcBorders>
              <w:top w:val="single" w:sz="4" w:space="0" w:color="000000"/>
              <w:left w:val="single" w:sz="4" w:space="0" w:color="000000"/>
              <w:bottom w:val="single" w:sz="4" w:space="0" w:color="000000"/>
              <w:right w:val="single" w:sz="4" w:space="0" w:color="000000"/>
            </w:tcBorders>
            <w:vAlign w:val="center"/>
          </w:tcPr>
          <w:p w14:paraId="7FD794DF" w14:textId="27DFC633" w:rsidR="00FE1EA1" w:rsidRDefault="00FE1EA1">
            <w:pPr>
              <w:jc w:val="both"/>
              <w:rPr>
                <w:rFonts w:ascii="Arial" w:hAnsi="Arial" w:cs="Arial"/>
              </w:rPr>
            </w:pPr>
            <w:r w:rsidRPr="00FE1EA1">
              <w:rPr>
                <w:rFonts w:ascii="Arial" w:hAnsi="Arial" w:cs="Arial"/>
              </w:rPr>
              <w:t>Population estimée bénéficiant directement et indirectement de l’action</w:t>
            </w:r>
          </w:p>
        </w:tc>
      </w:tr>
    </w:tbl>
    <w:p w14:paraId="00A571EE" w14:textId="77777777" w:rsidR="00BE66A6" w:rsidRDefault="00BE66A6">
      <w:pPr>
        <w:pStyle w:val="Corpsdetexte"/>
        <w:ind w:left="1176" w:right="1169"/>
        <w:jc w:val="both"/>
        <w:rPr>
          <w:rFonts w:ascii="Arial" w:hAnsi="Arial" w:cs="Arial"/>
          <w:sz w:val="24"/>
          <w:szCs w:val="24"/>
        </w:rPr>
      </w:pPr>
    </w:p>
    <w:p w14:paraId="0FEC1BE3" w14:textId="77777777" w:rsidR="00043D68" w:rsidRPr="000B20C0" w:rsidRDefault="00043D68" w:rsidP="00043D68">
      <w:pPr>
        <w:pStyle w:val="Corpsdetexte"/>
        <w:ind w:left="1176" w:right="1169" w:firstLine="264"/>
        <w:jc w:val="both"/>
        <w:rPr>
          <w:rFonts w:ascii="Arial" w:hAnsi="Arial" w:cs="Arial"/>
          <w:sz w:val="24"/>
          <w:szCs w:val="24"/>
          <w:u w:val="single"/>
        </w:rPr>
      </w:pPr>
      <w:r w:rsidRPr="000B20C0">
        <w:rPr>
          <w:rFonts w:ascii="Arial" w:hAnsi="Arial" w:cs="Arial"/>
          <w:sz w:val="24"/>
          <w:szCs w:val="24"/>
          <w:u w:val="single"/>
        </w:rPr>
        <w:t>Suivi et valorisation des données</w:t>
      </w:r>
    </w:p>
    <w:p w14:paraId="6FF68E81" w14:textId="77777777" w:rsidR="00043D68" w:rsidRPr="00E61038" w:rsidRDefault="00043D68" w:rsidP="00043D68">
      <w:pPr>
        <w:pStyle w:val="Corpsdetexte"/>
        <w:ind w:left="1176" w:right="1169"/>
        <w:jc w:val="both"/>
        <w:rPr>
          <w:rFonts w:ascii="Arial" w:hAnsi="Arial" w:cs="Arial"/>
        </w:rPr>
      </w:pPr>
    </w:p>
    <w:p w14:paraId="60C5F029" w14:textId="77777777" w:rsidR="00043D68" w:rsidRDefault="00043D68" w:rsidP="00043D68">
      <w:pPr>
        <w:pStyle w:val="Corpsdetexte"/>
        <w:ind w:left="1176" w:right="1169"/>
        <w:jc w:val="both"/>
        <w:rPr>
          <w:rFonts w:ascii="Arial" w:hAnsi="Arial" w:cs="Arial"/>
        </w:rPr>
      </w:pPr>
      <w:r w:rsidRPr="00916D19">
        <w:rPr>
          <w:rFonts w:ascii="Arial" w:hAnsi="Arial" w:cs="Arial"/>
        </w:rPr>
        <w:t xml:space="preserve">La transmission des données relatives aux indicateurs se fait à deux moments dans la plateforme </w:t>
      </w:r>
      <w:hyperlink r:id="rId7">
        <w:r w:rsidRPr="00916D19">
          <w:rPr>
            <w:rStyle w:val="Lienhypertexte"/>
            <w:rFonts w:ascii="Arial" w:hAnsi="Arial" w:cs="Arial"/>
            <w:b/>
            <w:bCs/>
            <w:i/>
            <w:iCs/>
            <w:color w:val="0000FF"/>
          </w:rPr>
          <w:t>e-Synergie</w:t>
        </w:r>
      </w:hyperlink>
      <w:r w:rsidRPr="00916D19">
        <w:rPr>
          <w:rStyle w:val="Lienhypertexte"/>
          <w:rFonts w:ascii="Arial" w:hAnsi="Arial" w:cs="Arial"/>
          <w:b/>
          <w:bCs/>
          <w:i/>
          <w:iCs/>
          <w:color w:val="0000FF"/>
        </w:rPr>
        <w:t xml:space="preserve"> </w:t>
      </w:r>
      <w:r w:rsidRPr="00916D19">
        <w:rPr>
          <w:rFonts w:ascii="Arial" w:hAnsi="Arial" w:cs="Arial"/>
        </w:rPr>
        <w:t>:</w:t>
      </w:r>
      <w:r>
        <w:rPr>
          <w:rFonts w:ascii="Arial" w:hAnsi="Arial" w:cs="Arial"/>
        </w:rPr>
        <w:t xml:space="preserve"> </w:t>
      </w:r>
    </w:p>
    <w:p w14:paraId="249B3421" w14:textId="77777777" w:rsidR="00043D68" w:rsidRDefault="00043D68" w:rsidP="00043D68">
      <w:pPr>
        <w:pStyle w:val="Corpsdetexte"/>
        <w:numPr>
          <w:ilvl w:val="0"/>
          <w:numId w:val="7"/>
        </w:numPr>
        <w:suppressAutoHyphens w:val="0"/>
        <w:autoSpaceDE w:val="0"/>
        <w:autoSpaceDN w:val="0"/>
        <w:ind w:right="1169"/>
        <w:jc w:val="both"/>
        <w:rPr>
          <w:rFonts w:ascii="Arial" w:hAnsi="Arial" w:cs="Arial"/>
          <w:b/>
          <w:bCs/>
        </w:rPr>
      </w:pPr>
      <w:r>
        <w:rPr>
          <w:rFonts w:ascii="Arial" w:hAnsi="Arial" w:cs="Arial"/>
          <w:b/>
          <w:bCs/>
        </w:rPr>
        <w:t>lors du d</w:t>
      </w:r>
      <w:r w:rsidRPr="000B20C0">
        <w:rPr>
          <w:rFonts w:ascii="Arial" w:hAnsi="Arial" w:cs="Arial"/>
          <w:b/>
          <w:bCs/>
        </w:rPr>
        <w:t>épôt du dossier : transmission des valeurs prévisionnelles</w:t>
      </w:r>
      <w:r>
        <w:rPr>
          <w:rFonts w:ascii="Arial" w:hAnsi="Arial" w:cs="Arial"/>
          <w:b/>
          <w:bCs/>
        </w:rPr>
        <w:t> ;</w:t>
      </w:r>
    </w:p>
    <w:p w14:paraId="712BAAA8" w14:textId="77777777" w:rsidR="00043D68" w:rsidRPr="00A92568" w:rsidRDefault="00043D68" w:rsidP="00043D68">
      <w:pPr>
        <w:pStyle w:val="Corpsdetexte"/>
        <w:numPr>
          <w:ilvl w:val="0"/>
          <w:numId w:val="7"/>
        </w:numPr>
        <w:suppressAutoHyphens w:val="0"/>
        <w:autoSpaceDE w:val="0"/>
        <w:autoSpaceDN w:val="0"/>
        <w:ind w:right="1169"/>
        <w:jc w:val="both"/>
        <w:rPr>
          <w:rFonts w:ascii="Arial" w:hAnsi="Arial" w:cs="Arial"/>
          <w:b/>
          <w:bCs/>
        </w:rPr>
      </w:pPr>
      <w:r w:rsidRPr="00A92568">
        <w:rPr>
          <w:rFonts w:ascii="Arial" w:hAnsi="Arial" w:cs="Arial"/>
          <w:b/>
          <w:bCs/>
        </w:rPr>
        <w:t>lors de la demande de paiement de solde : transmission des valeurs réalisées ;</w:t>
      </w:r>
    </w:p>
    <w:p w14:paraId="333ED29D" w14:textId="77777777" w:rsidR="00043D68" w:rsidRPr="00501DCB" w:rsidRDefault="00043D68" w:rsidP="00043D68">
      <w:pPr>
        <w:pStyle w:val="Corpsdetexte"/>
        <w:numPr>
          <w:ilvl w:val="0"/>
          <w:numId w:val="7"/>
        </w:numPr>
        <w:suppressAutoHyphens w:val="0"/>
        <w:autoSpaceDE w:val="0"/>
        <w:autoSpaceDN w:val="0"/>
        <w:ind w:right="1169"/>
        <w:jc w:val="both"/>
        <w:rPr>
          <w:rFonts w:ascii="Arial" w:hAnsi="Arial" w:cs="Arial"/>
          <w:b/>
          <w:bCs/>
        </w:rPr>
      </w:pPr>
      <w:r w:rsidRPr="00501DCB">
        <w:rPr>
          <w:rFonts w:ascii="Arial" w:hAnsi="Arial" w:cs="Arial"/>
        </w:rPr>
        <w:t>Le service instructeur effectuera un contrôle de ces données lors du contrôle de service fait (CSF).</w:t>
      </w:r>
    </w:p>
    <w:p w14:paraId="5CF73C42" w14:textId="77777777" w:rsidR="00BE66A6" w:rsidRDefault="00BE66A6">
      <w:pPr>
        <w:pStyle w:val="Corpsdetexte"/>
        <w:ind w:right="1169"/>
        <w:jc w:val="both"/>
        <w:rPr>
          <w:rFonts w:ascii="Arial" w:hAnsi="Arial" w:cs="Arial"/>
        </w:rPr>
      </w:pPr>
    </w:p>
    <w:p w14:paraId="13CFA23F" w14:textId="77777777" w:rsidR="00BE66A6" w:rsidRDefault="00A71C6A">
      <w:pPr>
        <w:pStyle w:val="Corpsdetexte"/>
        <w:ind w:left="1176" w:right="1169" w:firstLine="264"/>
        <w:jc w:val="both"/>
        <w:rPr>
          <w:rFonts w:ascii="Arial" w:hAnsi="Arial" w:cs="Arial"/>
          <w:sz w:val="24"/>
          <w:szCs w:val="24"/>
          <w:u w:val="single"/>
        </w:rPr>
      </w:pPr>
      <w:r>
        <w:rPr>
          <w:rFonts w:ascii="Arial" w:hAnsi="Arial" w:cs="Arial"/>
          <w:sz w:val="24"/>
          <w:szCs w:val="24"/>
          <w:u w:val="single"/>
        </w:rPr>
        <w:t>Schéma récapitulatif</w:t>
      </w:r>
    </w:p>
    <w:p w14:paraId="1F8FFE71" w14:textId="77777777" w:rsidR="00BE66A6" w:rsidRDefault="00BE66A6">
      <w:pPr>
        <w:pStyle w:val="Corpsdetexte"/>
        <w:ind w:left="1176" w:right="1169"/>
        <w:jc w:val="both"/>
        <w:rPr>
          <w:rFonts w:ascii="Arial" w:hAnsi="Arial" w:cs="Arial"/>
        </w:rPr>
      </w:pPr>
    </w:p>
    <w:p w14:paraId="7220E753" w14:textId="7E80FB0A" w:rsidR="00BE66A6" w:rsidRDefault="00A71C6A">
      <w:pPr>
        <w:pStyle w:val="Corpsdetexte"/>
        <w:ind w:left="1176" w:right="1169"/>
        <w:jc w:val="both"/>
      </w:pPr>
      <w:r>
        <w:rPr>
          <w:rFonts w:ascii="Arial" w:hAnsi="Arial" w:cs="Arial"/>
        </w:rPr>
        <w:t xml:space="preserve">Le schéma récapitulatif ci-dessous permet de présenter u processus de de votre projet. </w:t>
      </w:r>
    </w:p>
    <w:p w14:paraId="735756C8" w14:textId="77777777" w:rsidR="00BE66A6" w:rsidRDefault="00A71C6A">
      <w:pPr>
        <w:pStyle w:val="Corpsdetexte"/>
        <w:ind w:left="1176" w:right="1169"/>
        <w:jc w:val="both"/>
      </w:pPr>
      <w:r>
        <w:t>​</w:t>
      </w:r>
      <w:r>
        <w:rPr>
          <w:noProof/>
        </w:rPr>
        <w:drawing>
          <wp:anchor distT="0" distB="0" distL="114300" distR="114300" simplePos="0" relativeHeight="4" behindDoc="0" locked="0" layoutInCell="0" allowOverlap="1" wp14:anchorId="60C7594F" wp14:editId="5ABA089C">
            <wp:simplePos x="0" y="0"/>
            <wp:positionH relativeFrom="margin">
              <wp:align>center</wp:align>
            </wp:positionH>
            <wp:positionV relativeFrom="paragraph">
              <wp:posOffset>272415</wp:posOffset>
            </wp:positionV>
            <wp:extent cx="6198870" cy="2514600"/>
            <wp:effectExtent l="0" t="0" r="0" b="0"/>
            <wp:wrapTight wrapText="bothSides">
              <wp:wrapPolygon edited="0">
                <wp:start x="-6" y="0"/>
                <wp:lineTo x="-6" y="21431"/>
                <wp:lineTo x="21498" y="21431"/>
                <wp:lineTo x="21498" y="0"/>
                <wp:lineTo x="-6" y="0"/>
              </wp:wrapPolygon>
            </wp:wrapTight>
            <wp:docPr id="1" name="Image 5" descr="Une image contenant texte, capture d’écran, nombr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5" descr="Une image contenant texte, capture d’écran, nombre&#10;&#10;Description générée automatiquement"/>
                    <pic:cNvPicPr>
                      <a:picLocks noChangeAspect="1" noChangeArrowheads="1"/>
                    </pic:cNvPicPr>
                  </pic:nvPicPr>
                  <pic:blipFill>
                    <a:blip r:embed="rId8"/>
                    <a:stretch>
                      <a:fillRect/>
                    </a:stretch>
                  </pic:blipFill>
                  <pic:spPr bwMode="auto">
                    <a:xfrm>
                      <a:off x="0" y="0"/>
                      <a:ext cx="6198870" cy="2514600"/>
                    </a:xfrm>
                    <a:prstGeom prst="rect">
                      <a:avLst/>
                    </a:prstGeom>
                  </pic:spPr>
                </pic:pic>
              </a:graphicData>
            </a:graphic>
          </wp:anchor>
        </w:drawing>
      </w:r>
      <w:r>
        <w:t>​</w:t>
      </w:r>
    </w:p>
    <w:p w14:paraId="78A92BC4" w14:textId="77777777" w:rsidR="00BE66A6" w:rsidRDefault="00BE66A6">
      <w:pPr>
        <w:pStyle w:val="Corpsdetexte"/>
        <w:ind w:left="1134" w:right="1169"/>
        <w:jc w:val="both"/>
        <w:rPr>
          <w:rFonts w:ascii="Arial" w:hAnsi="Arial" w:cs="Arial"/>
        </w:rPr>
      </w:pPr>
    </w:p>
    <w:p w14:paraId="0D00FAD0" w14:textId="77777777" w:rsidR="00BE66A6" w:rsidRDefault="00A71C6A">
      <w:pPr>
        <w:rPr>
          <w:rFonts w:ascii="Arial" w:hAnsi="Arial" w:cs="Arial"/>
        </w:rPr>
      </w:pPr>
      <w:r>
        <w:rPr>
          <w:rFonts w:ascii="Arial" w:hAnsi="Arial" w:cs="Arial"/>
        </w:rPr>
        <w:tab/>
      </w:r>
    </w:p>
    <w:p w14:paraId="79A2B3BC" w14:textId="77777777" w:rsidR="00BE66A6" w:rsidRDefault="00A71C6A">
      <w:pPr>
        <w:rPr>
          <w:rFonts w:ascii="Arial" w:hAnsi="Arial" w:cs="Arial"/>
        </w:rPr>
      </w:pPr>
      <w:r>
        <w:br w:type="page"/>
      </w:r>
    </w:p>
    <w:p w14:paraId="71D619A5" w14:textId="77777777" w:rsidR="00BE66A6" w:rsidRDefault="00A71C6A">
      <w:pPr>
        <w:pStyle w:val="Corpsdetexte"/>
        <w:ind w:left="720" w:firstLine="131"/>
        <w:rPr>
          <w:rFonts w:ascii="Arial" w:hAnsi="Arial" w:cs="Arial"/>
          <w:b/>
          <w:bCs/>
          <w:sz w:val="24"/>
          <w:szCs w:val="24"/>
          <w:u w:val="single"/>
        </w:rPr>
      </w:pPr>
      <w:bookmarkStart w:id="0" w:name="_bookmark10"/>
      <w:bookmarkEnd w:id="0"/>
      <w:r>
        <w:rPr>
          <w:rFonts w:ascii="Arial" w:hAnsi="Arial" w:cs="Arial"/>
          <w:b/>
          <w:bCs/>
          <w:sz w:val="24"/>
          <w:szCs w:val="24"/>
          <w:u w:val="single"/>
        </w:rPr>
        <w:lastRenderedPageBreak/>
        <w:t>Présentation détaillée des indicateurs</w:t>
      </w:r>
    </w:p>
    <w:p w14:paraId="3DA2D3F1" w14:textId="77777777" w:rsidR="00BE66A6" w:rsidRDefault="00BE66A6">
      <w:pPr>
        <w:pStyle w:val="Corpsdetexte"/>
        <w:ind w:left="1176"/>
        <w:rPr>
          <w:rFonts w:ascii="Arial" w:hAnsi="Arial" w:cs="Arial"/>
          <w:sz w:val="24"/>
          <w:szCs w:val="24"/>
        </w:rPr>
      </w:pPr>
    </w:p>
    <w:p w14:paraId="2AA987EA" w14:textId="77777777" w:rsidR="00BE66A6" w:rsidRDefault="00BE66A6">
      <w:pPr>
        <w:pStyle w:val="Corpsdetexte"/>
        <w:spacing w:before="1" w:after="1"/>
        <w:rPr>
          <w:rFonts w:ascii="Arial" w:hAnsi="Arial" w:cs="Arial"/>
        </w:rPr>
      </w:pPr>
    </w:p>
    <w:tbl>
      <w:tblPr>
        <w:tblW w:w="10216" w:type="dxa"/>
        <w:tblInd w:w="704" w:type="dxa"/>
        <w:tblLayout w:type="fixed"/>
        <w:tblCellMar>
          <w:left w:w="5" w:type="dxa"/>
          <w:right w:w="5" w:type="dxa"/>
        </w:tblCellMar>
        <w:tblLook w:val="0000" w:firstRow="0" w:lastRow="0" w:firstColumn="0" w:lastColumn="0" w:noHBand="0" w:noVBand="0"/>
      </w:tblPr>
      <w:tblGrid>
        <w:gridCol w:w="2549"/>
        <w:gridCol w:w="7667"/>
      </w:tblGrid>
      <w:tr w:rsidR="00BE66A6" w14:paraId="0E3976BA" w14:textId="77777777">
        <w:trPr>
          <w:trHeight w:val="486"/>
        </w:trPr>
        <w:tc>
          <w:tcPr>
            <w:tcW w:w="2549" w:type="dxa"/>
            <w:tcBorders>
              <w:top w:val="single" w:sz="4" w:space="0" w:color="000000"/>
              <w:left w:val="single" w:sz="4" w:space="0" w:color="000000"/>
              <w:bottom w:val="single" w:sz="4" w:space="0" w:color="000000"/>
              <w:right w:val="single" w:sz="4" w:space="0" w:color="000000"/>
            </w:tcBorders>
            <w:vAlign w:val="center"/>
          </w:tcPr>
          <w:p w14:paraId="44CFDACC" w14:textId="77777777" w:rsidR="00BE66A6" w:rsidRDefault="00A71C6A">
            <w:pPr>
              <w:pStyle w:val="TableParagraph"/>
              <w:spacing w:before="120" w:after="120"/>
              <w:ind w:left="165" w:right="154"/>
              <w:jc w:val="center"/>
              <w:rPr>
                <w:rFonts w:ascii="Arial" w:hAnsi="Arial" w:cs="Arial"/>
                <w:b/>
              </w:rPr>
            </w:pPr>
            <w:r>
              <w:rPr>
                <w:rFonts w:ascii="Arial" w:hAnsi="Arial" w:cs="Arial"/>
                <w:b/>
              </w:rPr>
              <w:t>ISO2.4</w:t>
            </w:r>
          </w:p>
        </w:tc>
        <w:tc>
          <w:tcPr>
            <w:tcW w:w="7666" w:type="dxa"/>
            <w:tcBorders>
              <w:top w:val="single" w:sz="4" w:space="0" w:color="000000"/>
              <w:left w:val="single" w:sz="4" w:space="0" w:color="000000"/>
              <w:bottom w:val="single" w:sz="4" w:space="0" w:color="000000"/>
              <w:right w:val="single" w:sz="4" w:space="0" w:color="000000"/>
            </w:tcBorders>
            <w:vAlign w:val="center"/>
          </w:tcPr>
          <w:p w14:paraId="7509A630" w14:textId="77777777" w:rsidR="00BE66A6" w:rsidRDefault="00A71C6A">
            <w:pPr>
              <w:pStyle w:val="TableParagraph"/>
              <w:spacing w:before="120" w:after="120" w:line="243" w:lineRule="exact"/>
              <w:ind w:left="576" w:right="575"/>
              <w:jc w:val="center"/>
              <w:rPr>
                <w:rFonts w:ascii="Arial" w:hAnsi="Arial" w:cs="Arial"/>
                <w:b/>
                <w:bCs/>
              </w:rPr>
            </w:pPr>
            <w:r>
              <w:rPr>
                <w:rFonts w:ascii="Arial" w:hAnsi="Arial" w:cs="Arial"/>
                <w:b/>
                <w:bCs/>
              </w:rPr>
              <w:t>Nombre d'actions de prévention aux risques d'inondations</w:t>
            </w:r>
          </w:p>
        </w:tc>
      </w:tr>
      <w:tr w:rsidR="00BE66A6" w14:paraId="715C62AD" w14:textId="77777777">
        <w:trPr>
          <w:trHeight w:val="659"/>
        </w:trPr>
        <w:tc>
          <w:tcPr>
            <w:tcW w:w="2549" w:type="dxa"/>
            <w:tcBorders>
              <w:top w:val="single" w:sz="4" w:space="0" w:color="000000"/>
              <w:left w:val="single" w:sz="4" w:space="0" w:color="000000"/>
              <w:bottom w:val="single" w:sz="4" w:space="0" w:color="000000"/>
              <w:right w:val="single" w:sz="4" w:space="0" w:color="000000"/>
            </w:tcBorders>
            <w:vAlign w:val="center"/>
          </w:tcPr>
          <w:p w14:paraId="4D8C77A4" w14:textId="77777777" w:rsidR="00BE66A6" w:rsidRDefault="00A71C6A">
            <w:pPr>
              <w:pStyle w:val="TableParagraph"/>
              <w:spacing w:before="125"/>
              <w:ind w:left="393" w:right="377"/>
              <w:jc w:val="center"/>
              <w:rPr>
                <w:rFonts w:ascii="Arial" w:hAnsi="Arial" w:cs="Arial"/>
                <w:spacing w:val="-1"/>
              </w:rPr>
            </w:pPr>
            <w:r>
              <w:rPr>
                <w:rFonts w:ascii="Arial" w:hAnsi="Arial" w:cs="Arial"/>
                <w:spacing w:val="-1"/>
              </w:rPr>
              <w:t>Précisions méthodologiques</w:t>
            </w:r>
          </w:p>
        </w:tc>
        <w:tc>
          <w:tcPr>
            <w:tcW w:w="7666" w:type="dxa"/>
            <w:tcBorders>
              <w:top w:val="single" w:sz="4" w:space="0" w:color="000000"/>
              <w:left w:val="single" w:sz="4" w:space="0" w:color="000000"/>
              <w:bottom w:val="single" w:sz="4" w:space="0" w:color="000000"/>
              <w:right w:val="single" w:sz="4" w:space="0" w:color="000000"/>
            </w:tcBorders>
            <w:shd w:val="clear" w:color="auto" w:fill="ECECEC"/>
            <w:vAlign w:val="center"/>
          </w:tcPr>
          <w:p w14:paraId="20D69FA7" w14:textId="77777777" w:rsidR="00BE66A6" w:rsidRDefault="00A71C6A">
            <w:pPr>
              <w:pStyle w:val="TableParagraph"/>
              <w:spacing w:before="120" w:after="120"/>
              <w:ind w:left="108" w:right="96"/>
              <w:jc w:val="both"/>
              <w:rPr>
                <w:rFonts w:ascii="Arial" w:hAnsi="Arial" w:cs="Arial"/>
              </w:rPr>
            </w:pPr>
            <w:r>
              <w:rPr>
                <w:rFonts w:ascii="Arial" w:hAnsi="Arial" w:cs="Arial"/>
              </w:rPr>
              <w:t>L'indicateur mesure le nombre de projet soutenus par le FEDER dans le cadre de mesure de prévention au risque d'inondation. L'indicateur prend en compte les diagnostics, les études de faisabilité, les actions de communication visant à informer et sensibiliser les habitants, les plans de continuité d’activités et les actions visant à prendre en compte les risques dans les documents d’urbanisme.</w:t>
            </w:r>
          </w:p>
          <w:p w14:paraId="64B791AC" w14:textId="78D15FD5" w:rsidR="00BE66A6" w:rsidRDefault="00A71C6A">
            <w:pPr>
              <w:pStyle w:val="TableParagraph"/>
              <w:spacing w:before="120" w:after="120"/>
              <w:ind w:left="108" w:right="96"/>
              <w:jc w:val="both"/>
              <w:rPr>
                <w:rFonts w:ascii="Arial" w:hAnsi="Arial" w:cs="Arial"/>
              </w:rPr>
            </w:pPr>
            <w:r>
              <w:rPr>
                <w:rFonts w:ascii="Arial" w:hAnsi="Arial" w:cs="Arial"/>
              </w:rPr>
              <w:t>Il comprend aussi les études et travaux pour les zones d’expansion des crues, les aménagements hydrauliques et les systèmes d’endiguement</w:t>
            </w:r>
            <w:r w:rsidR="00FD6AC1">
              <w:rPr>
                <w:rFonts w:ascii="Arial" w:hAnsi="Arial" w:cs="Arial"/>
              </w:rPr>
              <w:t>.</w:t>
            </w:r>
          </w:p>
        </w:tc>
      </w:tr>
      <w:tr w:rsidR="00BE66A6" w14:paraId="74C4BFE1" w14:textId="77777777">
        <w:trPr>
          <w:trHeight w:val="244"/>
        </w:trPr>
        <w:tc>
          <w:tcPr>
            <w:tcW w:w="2549" w:type="dxa"/>
            <w:tcBorders>
              <w:top w:val="single" w:sz="4" w:space="0" w:color="000000"/>
              <w:left w:val="single" w:sz="4" w:space="0" w:color="000000"/>
              <w:bottom w:val="single" w:sz="4" w:space="0" w:color="000000"/>
              <w:right w:val="single" w:sz="4" w:space="0" w:color="000000"/>
            </w:tcBorders>
            <w:vAlign w:val="center"/>
          </w:tcPr>
          <w:p w14:paraId="004275F8" w14:textId="77777777" w:rsidR="00BE66A6" w:rsidRDefault="00A71C6A">
            <w:pPr>
              <w:pStyle w:val="TableParagraph"/>
              <w:spacing w:before="120" w:after="120" w:line="223" w:lineRule="exact"/>
              <w:ind w:left="165" w:right="154"/>
              <w:jc w:val="center"/>
            </w:pPr>
            <w:r>
              <w:rPr>
                <w:rFonts w:ascii="Arial" w:hAnsi="Arial" w:cs="Arial"/>
              </w:rPr>
              <w:t>Unité</w:t>
            </w:r>
            <w:r>
              <w:rPr>
                <w:rFonts w:ascii="Arial" w:hAnsi="Arial" w:cs="Arial"/>
                <w:spacing w:val="-2"/>
              </w:rPr>
              <w:t xml:space="preserve"> </w:t>
            </w:r>
            <w:r>
              <w:rPr>
                <w:rFonts w:ascii="Arial" w:hAnsi="Arial" w:cs="Arial"/>
              </w:rPr>
              <w:t>de</w:t>
            </w:r>
            <w:r>
              <w:rPr>
                <w:rFonts w:ascii="Arial" w:hAnsi="Arial" w:cs="Arial"/>
                <w:spacing w:val="-2"/>
              </w:rPr>
              <w:t xml:space="preserve"> </w:t>
            </w:r>
            <w:r>
              <w:rPr>
                <w:rFonts w:ascii="Arial" w:hAnsi="Arial" w:cs="Arial"/>
              </w:rPr>
              <w:t>mesure</w:t>
            </w:r>
          </w:p>
        </w:tc>
        <w:tc>
          <w:tcPr>
            <w:tcW w:w="7666" w:type="dxa"/>
            <w:tcBorders>
              <w:top w:val="single" w:sz="4" w:space="0" w:color="000000"/>
              <w:left w:val="single" w:sz="4" w:space="0" w:color="000000"/>
              <w:bottom w:val="single" w:sz="4" w:space="0" w:color="000000"/>
              <w:right w:val="single" w:sz="4" w:space="0" w:color="000000"/>
            </w:tcBorders>
            <w:vAlign w:val="center"/>
          </w:tcPr>
          <w:p w14:paraId="10B46CF5" w14:textId="77777777" w:rsidR="00BE66A6" w:rsidRDefault="00A71C6A">
            <w:pPr>
              <w:pStyle w:val="TableParagraph"/>
              <w:spacing w:before="120" w:after="120" w:line="223" w:lineRule="exact"/>
              <w:ind w:left="107"/>
              <w:rPr>
                <w:rFonts w:ascii="Arial" w:hAnsi="Arial" w:cs="Arial"/>
                <w:bCs/>
              </w:rPr>
            </w:pPr>
            <w:r>
              <w:rPr>
                <w:rFonts w:ascii="Arial" w:hAnsi="Arial" w:cs="Arial"/>
                <w:bCs/>
              </w:rPr>
              <w:t>Actions.</w:t>
            </w:r>
          </w:p>
        </w:tc>
      </w:tr>
      <w:tr w:rsidR="00BE66A6" w14:paraId="2EF8375C" w14:textId="77777777">
        <w:trPr>
          <w:trHeight w:val="2719"/>
        </w:trPr>
        <w:tc>
          <w:tcPr>
            <w:tcW w:w="2549" w:type="dxa"/>
            <w:tcBorders>
              <w:top w:val="single" w:sz="4" w:space="0" w:color="000000"/>
              <w:left w:val="single" w:sz="4" w:space="0" w:color="000000"/>
              <w:bottom w:val="single" w:sz="4" w:space="0" w:color="000000"/>
              <w:right w:val="single" w:sz="4" w:space="0" w:color="000000"/>
            </w:tcBorders>
            <w:vAlign w:val="center"/>
          </w:tcPr>
          <w:p w14:paraId="3B0210E2" w14:textId="77777777" w:rsidR="00BE66A6" w:rsidRDefault="00A71C6A">
            <w:pPr>
              <w:pStyle w:val="TableParagraph"/>
              <w:spacing w:before="1"/>
              <w:ind w:left="167" w:right="154"/>
              <w:jc w:val="center"/>
              <w:rPr>
                <w:rFonts w:ascii="Arial" w:hAnsi="Arial" w:cs="Arial"/>
              </w:rPr>
            </w:pPr>
            <w:r>
              <w:rPr>
                <w:rFonts w:ascii="Arial" w:hAnsi="Arial" w:cs="Arial"/>
              </w:rPr>
              <w:t>Exemples non-exhaustifs d’actions concernées</w:t>
            </w:r>
          </w:p>
        </w:tc>
        <w:tc>
          <w:tcPr>
            <w:tcW w:w="7666" w:type="dxa"/>
            <w:tcBorders>
              <w:top w:val="single" w:sz="4" w:space="0" w:color="000000"/>
              <w:left w:val="single" w:sz="4" w:space="0" w:color="000000"/>
              <w:bottom w:val="single" w:sz="4" w:space="0" w:color="000000"/>
              <w:right w:val="single" w:sz="4" w:space="0" w:color="000000"/>
            </w:tcBorders>
            <w:shd w:val="clear" w:color="auto" w:fill="ECECEC"/>
            <w:vAlign w:val="center"/>
          </w:tcPr>
          <w:p w14:paraId="594E7A9A" w14:textId="77777777" w:rsidR="00BE66A6" w:rsidRDefault="00A71C6A">
            <w:pPr>
              <w:pStyle w:val="TableParagraph"/>
              <w:spacing w:before="120" w:after="120"/>
              <w:ind w:right="147"/>
              <w:jc w:val="both"/>
              <w:rPr>
                <w:rFonts w:ascii="Arial" w:hAnsi="Arial" w:cs="Arial"/>
              </w:rPr>
            </w:pPr>
            <w:r>
              <w:rPr>
                <w:rFonts w:ascii="Arial" w:hAnsi="Arial" w:cs="Arial"/>
              </w:rPr>
              <w:t xml:space="preserve">Les investissements : </w:t>
            </w:r>
          </w:p>
          <w:p w14:paraId="32C2513E" w14:textId="77777777" w:rsidR="00BE66A6" w:rsidRDefault="00A71C6A">
            <w:pPr>
              <w:pStyle w:val="TableParagraph"/>
              <w:numPr>
                <w:ilvl w:val="0"/>
                <w:numId w:val="2"/>
              </w:numPr>
              <w:ind w:right="147"/>
              <w:jc w:val="both"/>
              <w:rPr>
                <w:rFonts w:ascii="Arial" w:hAnsi="Arial" w:cs="Arial"/>
              </w:rPr>
            </w:pPr>
            <w:r>
              <w:rPr>
                <w:rFonts w:ascii="Arial" w:hAnsi="Arial" w:cs="Arial"/>
              </w:rPr>
              <w:t>Les études et travaux visés ci-dessus en vue de prévenir et gérer les inondations ;</w:t>
            </w:r>
          </w:p>
          <w:p w14:paraId="769845D8" w14:textId="77777777" w:rsidR="00BE66A6" w:rsidRDefault="00A71C6A">
            <w:pPr>
              <w:pStyle w:val="TableParagraph"/>
              <w:spacing w:before="120" w:after="120"/>
              <w:ind w:right="147"/>
              <w:jc w:val="both"/>
              <w:rPr>
                <w:rFonts w:ascii="Arial" w:hAnsi="Arial" w:cs="Arial"/>
              </w:rPr>
            </w:pPr>
            <w:r>
              <w:rPr>
                <w:rFonts w:ascii="Arial" w:hAnsi="Arial" w:cs="Arial"/>
              </w:rPr>
              <w:t>La mise en œuvre d’actions interrégionales contre les inondations : l'élaboration et la mise en œuvre de plans d'actions interrégionaux comportant des actions concrètes exemplaires et innovantes ou la démultiplication des actions ayant fait leurs preuves qui contribuent à la mise en place de mesures de protection contre les inondations.</w:t>
            </w:r>
          </w:p>
          <w:p w14:paraId="4ABC6328" w14:textId="77777777" w:rsidR="00BE66A6" w:rsidRDefault="00BE66A6">
            <w:pPr>
              <w:pStyle w:val="TableParagraph"/>
              <w:spacing w:before="120" w:after="120"/>
              <w:ind w:right="147"/>
              <w:jc w:val="both"/>
              <w:rPr>
                <w:rFonts w:ascii="Arial" w:hAnsi="Arial" w:cs="Arial"/>
              </w:rPr>
            </w:pPr>
          </w:p>
          <w:p w14:paraId="3834E0C1" w14:textId="77777777" w:rsidR="00BE66A6" w:rsidRDefault="00A71C6A">
            <w:pPr>
              <w:pStyle w:val="TableParagraph"/>
              <w:spacing w:before="120" w:after="120"/>
              <w:ind w:right="147"/>
              <w:jc w:val="both"/>
              <w:rPr>
                <w:rFonts w:ascii="Arial" w:hAnsi="Arial" w:cs="Arial"/>
              </w:rPr>
            </w:pPr>
            <w:r>
              <w:rPr>
                <w:rFonts w:ascii="Arial" w:hAnsi="Arial" w:cs="Arial"/>
              </w:rPr>
              <w:t>Le développement de la connaissance sur les mesures de protection contre les inondations : les études de faisabilités, ou scientifiques d’envergure permettant d’améliorer la protection contre le risque d'inondation, les diagnostics de vulnérabilité des territoires.</w:t>
            </w:r>
          </w:p>
          <w:p w14:paraId="5F9F232E" w14:textId="77777777" w:rsidR="00BE66A6" w:rsidRDefault="00BE66A6">
            <w:pPr>
              <w:pStyle w:val="TableParagraph"/>
              <w:spacing w:before="120" w:after="120"/>
              <w:ind w:right="147"/>
              <w:jc w:val="both"/>
              <w:rPr>
                <w:rFonts w:ascii="Arial" w:hAnsi="Arial" w:cs="Arial"/>
              </w:rPr>
            </w:pPr>
          </w:p>
          <w:p w14:paraId="77157818" w14:textId="77777777" w:rsidR="00BE66A6" w:rsidRDefault="00A71C6A">
            <w:pPr>
              <w:pStyle w:val="TableParagraph"/>
              <w:spacing w:before="120" w:after="120"/>
              <w:ind w:right="147"/>
              <w:jc w:val="both"/>
              <w:rPr>
                <w:rFonts w:ascii="Arial" w:hAnsi="Arial" w:cs="Arial"/>
              </w:rPr>
            </w:pPr>
            <w:r>
              <w:rPr>
                <w:rFonts w:ascii="Arial" w:hAnsi="Arial" w:cs="Arial"/>
              </w:rPr>
              <w:t>Les actions d’animation, de communication, de sensibilisation ou de mise en œuvre de démarches de sensibilisation du public à la protection contre les inondations :</w:t>
            </w:r>
          </w:p>
          <w:p w14:paraId="0DAD2F80" w14:textId="77777777" w:rsidR="00BE66A6" w:rsidRDefault="00A71C6A">
            <w:pPr>
              <w:pStyle w:val="TableParagraph"/>
              <w:numPr>
                <w:ilvl w:val="0"/>
                <w:numId w:val="2"/>
              </w:numPr>
              <w:ind w:right="147"/>
              <w:jc w:val="both"/>
              <w:rPr>
                <w:rFonts w:ascii="Arial" w:hAnsi="Arial" w:cs="Arial"/>
              </w:rPr>
            </w:pPr>
            <w:r>
              <w:rPr>
                <w:rFonts w:ascii="Arial" w:hAnsi="Arial" w:cs="Arial"/>
              </w:rPr>
              <w:t>La création d’outils innovants de communication ;</w:t>
            </w:r>
          </w:p>
          <w:p w14:paraId="5CC8563F" w14:textId="77777777" w:rsidR="00BE66A6" w:rsidRDefault="00A71C6A">
            <w:pPr>
              <w:pStyle w:val="TableParagraph"/>
              <w:numPr>
                <w:ilvl w:val="0"/>
                <w:numId w:val="2"/>
              </w:numPr>
              <w:ind w:right="147"/>
              <w:jc w:val="both"/>
              <w:rPr>
                <w:rFonts w:ascii="Arial" w:hAnsi="Arial" w:cs="Arial"/>
              </w:rPr>
            </w:pPr>
            <w:r>
              <w:rPr>
                <w:rFonts w:ascii="Arial" w:hAnsi="Arial" w:cs="Arial"/>
              </w:rPr>
              <w:t>La mise en place d’événementiels ;</w:t>
            </w:r>
          </w:p>
          <w:p w14:paraId="0CA19C5C" w14:textId="77777777" w:rsidR="00BE66A6" w:rsidRDefault="00A71C6A">
            <w:pPr>
              <w:pStyle w:val="TableParagraph"/>
              <w:numPr>
                <w:ilvl w:val="0"/>
                <w:numId w:val="2"/>
              </w:numPr>
              <w:ind w:right="147"/>
              <w:jc w:val="both"/>
              <w:rPr>
                <w:rFonts w:ascii="Arial" w:hAnsi="Arial" w:cs="Arial"/>
              </w:rPr>
            </w:pPr>
            <w:r>
              <w:rPr>
                <w:rFonts w:ascii="Arial" w:hAnsi="Arial" w:cs="Arial"/>
              </w:rPr>
              <w:t>Les programmes de formation des acteurs et professionnels concernés.</w:t>
            </w:r>
          </w:p>
        </w:tc>
      </w:tr>
      <w:tr w:rsidR="00BE66A6" w14:paraId="1B142F3B" w14:textId="77777777">
        <w:trPr>
          <w:trHeight w:val="486"/>
        </w:trPr>
        <w:tc>
          <w:tcPr>
            <w:tcW w:w="2549" w:type="dxa"/>
            <w:tcBorders>
              <w:top w:val="single" w:sz="4" w:space="0" w:color="000000"/>
              <w:left w:val="single" w:sz="4" w:space="0" w:color="000000"/>
              <w:bottom w:val="single" w:sz="4" w:space="0" w:color="000000"/>
              <w:right w:val="single" w:sz="4" w:space="0" w:color="000000"/>
            </w:tcBorders>
            <w:vAlign w:val="center"/>
          </w:tcPr>
          <w:p w14:paraId="03709845" w14:textId="77777777" w:rsidR="00BE66A6" w:rsidRDefault="00A71C6A">
            <w:pPr>
              <w:pStyle w:val="TableParagraph"/>
              <w:spacing w:before="120" w:after="120" w:line="243" w:lineRule="exact"/>
              <w:ind w:left="167" w:right="154"/>
              <w:jc w:val="center"/>
              <w:rPr>
                <w:rFonts w:ascii="Arial" w:hAnsi="Arial" w:cs="Arial"/>
              </w:rPr>
            </w:pPr>
            <w:r>
              <w:rPr>
                <w:rFonts w:ascii="Arial" w:hAnsi="Arial" w:cs="Arial"/>
              </w:rPr>
              <w:t xml:space="preserve">Stade de </w:t>
            </w:r>
            <w:r>
              <w:rPr>
                <w:rFonts w:ascii="Arial" w:hAnsi="Arial" w:cs="Arial"/>
              </w:rPr>
              <w:br/>
              <w:t>la collecte</w:t>
            </w:r>
          </w:p>
        </w:tc>
        <w:tc>
          <w:tcPr>
            <w:tcW w:w="7666" w:type="dxa"/>
            <w:tcBorders>
              <w:top w:val="single" w:sz="4" w:space="0" w:color="000000"/>
              <w:left w:val="single" w:sz="4" w:space="0" w:color="000000"/>
              <w:bottom w:val="single" w:sz="4" w:space="0" w:color="000000"/>
              <w:right w:val="single" w:sz="4" w:space="0" w:color="000000"/>
            </w:tcBorders>
            <w:vAlign w:val="center"/>
          </w:tcPr>
          <w:p w14:paraId="118E4C5C" w14:textId="77777777" w:rsidR="00BE66A6" w:rsidRDefault="00A71C6A">
            <w:pPr>
              <w:pStyle w:val="TableParagraph"/>
              <w:spacing w:before="120" w:after="120" w:line="243" w:lineRule="exact"/>
              <w:ind w:left="107"/>
              <w:rPr>
                <w:rFonts w:ascii="Arial" w:hAnsi="Arial" w:cs="Arial"/>
              </w:rPr>
            </w:pPr>
            <w:r>
              <w:rPr>
                <w:rFonts w:ascii="Arial" w:hAnsi="Arial" w:cs="Arial"/>
              </w:rPr>
              <w:t>Achèvement du projet ou lors d’une demande de paiement (acompte/solde).</w:t>
            </w:r>
          </w:p>
        </w:tc>
      </w:tr>
    </w:tbl>
    <w:p w14:paraId="70649AAF" w14:textId="77777777" w:rsidR="00BE66A6" w:rsidRDefault="00BE66A6">
      <w:pPr>
        <w:pStyle w:val="Corpsdetexte"/>
        <w:spacing w:before="6"/>
        <w:rPr>
          <w:rFonts w:ascii="Arial" w:hAnsi="Arial" w:cs="Arial"/>
        </w:rPr>
      </w:pPr>
    </w:p>
    <w:p w14:paraId="5E8F2AE0" w14:textId="77777777" w:rsidR="00BE66A6" w:rsidRDefault="00BE66A6">
      <w:pPr>
        <w:pStyle w:val="Corpsdetexte"/>
        <w:spacing w:before="6"/>
        <w:rPr>
          <w:rFonts w:ascii="Arial" w:hAnsi="Arial" w:cs="Arial"/>
        </w:rPr>
      </w:pPr>
    </w:p>
    <w:p w14:paraId="356CC498" w14:textId="77777777" w:rsidR="00BE66A6" w:rsidRDefault="00A71C6A">
      <w:pPr>
        <w:rPr>
          <w:rFonts w:ascii="Arial" w:hAnsi="Arial" w:cs="Arial"/>
        </w:rPr>
      </w:pPr>
      <w:r>
        <w:br w:type="page"/>
      </w:r>
    </w:p>
    <w:tbl>
      <w:tblPr>
        <w:tblW w:w="10216" w:type="dxa"/>
        <w:tblInd w:w="704" w:type="dxa"/>
        <w:tblLayout w:type="fixed"/>
        <w:tblCellMar>
          <w:left w:w="5" w:type="dxa"/>
          <w:right w:w="5" w:type="dxa"/>
        </w:tblCellMar>
        <w:tblLook w:val="0000" w:firstRow="0" w:lastRow="0" w:firstColumn="0" w:lastColumn="0" w:noHBand="0" w:noVBand="0"/>
      </w:tblPr>
      <w:tblGrid>
        <w:gridCol w:w="2549"/>
        <w:gridCol w:w="7667"/>
      </w:tblGrid>
      <w:tr w:rsidR="00BE66A6" w14:paraId="25F654F0" w14:textId="77777777">
        <w:trPr>
          <w:trHeight w:val="447"/>
        </w:trPr>
        <w:tc>
          <w:tcPr>
            <w:tcW w:w="2549" w:type="dxa"/>
            <w:tcBorders>
              <w:top w:val="single" w:sz="4" w:space="0" w:color="000000"/>
              <w:left w:val="single" w:sz="4" w:space="0" w:color="000000"/>
              <w:bottom w:val="single" w:sz="4" w:space="0" w:color="000000"/>
              <w:right w:val="single" w:sz="4" w:space="0" w:color="000000"/>
            </w:tcBorders>
            <w:vAlign w:val="center"/>
          </w:tcPr>
          <w:p w14:paraId="28BEC04E" w14:textId="77777777" w:rsidR="00BE66A6" w:rsidRDefault="00A71C6A">
            <w:pPr>
              <w:pStyle w:val="TableParagraph"/>
              <w:pageBreakBefore/>
              <w:spacing w:before="120" w:after="120"/>
              <w:jc w:val="center"/>
              <w:rPr>
                <w:rFonts w:ascii="Arial" w:hAnsi="Arial" w:cs="Arial"/>
                <w:b/>
              </w:rPr>
            </w:pPr>
            <w:r>
              <w:rPr>
                <w:rFonts w:ascii="Arial" w:hAnsi="Arial" w:cs="Arial"/>
                <w:b/>
              </w:rPr>
              <w:lastRenderedPageBreak/>
              <w:t>RCO25</w:t>
            </w:r>
          </w:p>
        </w:tc>
        <w:tc>
          <w:tcPr>
            <w:tcW w:w="7666" w:type="dxa"/>
            <w:tcBorders>
              <w:top w:val="single" w:sz="4" w:space="0" w:color="000000"/>
              <w:left w:val="single" w:sz="4" w:space="0" w:color="000000"/>
              <w:bottom w:val="single" w:sz="4" w:space="0" w:color="000000"/>
              <w:right w:val="single" w:sz="4" w:space="0" w:color="000000"/>
            </w:tcBorders>
            <w:vAlign w:val="center"/>
          </w:tcPr>
          <w:p w14:paraId="38E435F2" w14:textId="77777777" w:rsidR="00BE66A6" w:rsidRDefault="00A71C6A">
            <w:pPr>
              <w:pStyle w:val="TableParagraph"/>
              <w:spacing w:before="120" w:after="120" w:line="203" w:lineRule="exact"/>
              <w:ind w:left="573" w:right="570"/>
              <w:jc w:val="center"/>
              <w:rPr>
                <w:rFonts w:ascii="Arial" w:hAnsi="Arial" w:cs="Arial"/>
                <w:b/>
              </w:rPr>
            </w:pPr>
            <w:r>
              <w:rPr>
                <w:rFonts w:ascii="Arial" w:hAnsi="Arial" w:cs="Arial"/>
                <w:b/>
              </w:rPr>
              <w:t>Ouvrages nouveaux ou renforcés de protection contre les inondations sur le littoral, les rives de cours d’eau et autour des lacs</w:t>
            </w:r>
          </w:p>
        </w:tc>
      </w:tr>
      <w:tr w:rsidR="00BE66A6" w14:paraId="0309D2F6" w14:textId="77777777">
        <w:trPr>
          <w:trHeight w:val="486"/>
        </w:trPr>
        <w:tc>
          <w:tcPr>
            <w:tcW w:w="2549" w:type="dxa"/>
            <w:tcBorders>
              <w:top w:val="single" w:sz="4" w:space="0" w:color="000000"/>
              <w:left w:val="single" w:sz="4" w:space="0" w:color="000000"/>
              <w:bottom w:val="single" w:sz="4" w:space="0" w:color="000000"/>
              <w:right w:val="single" w:sz="4" w:space="0" w:color="000000"/>
            </w:tcBorders>
            <w:vAlign w:val="center"/>
          </w:tcPr>
          <w:p w14:paraId="762554B9" w14:textId="77777777" w:rsidR="00BE66A6" w:rsidRDefault="00A71C6A">
            <w:pPr>
              <w:pStyle w:val="TableParagraph"/>
              <w:spacing w:before="120" w:after="120" w:line="243" w:lineRule="exact"/>
              <w:ind w:left="89" w:right="80"/>
              <w:jc w:val="center"/>
            </w:pPr>
            <w:r>
              <w:rPr>
                <w:rFonts w:ascii="Arial" w:hAnsi="Arial" w:cs="Arial"/>
              </w:rPr>
              <w:t>Définition</w:t>
            </w:r>
            <w:r>
              <w:rPr>
                <w:rFonts w:ascii="Arial" w:hAnsi="Arial" w:cs="Arial"/>
                <w:spacing w:val="-3"/>
              </w:rPr>
              <w:t xml:space="preserve"> </w:t>
            </w:r>
            <w:r>
              <w:rPr>
                <w:rFonts w:ascii="Arial" w:hAnsi="Arial" w:cs="Arial"/>
                <w:spacing w:val="-3"/>
              </w:rPr>
              <w:br/>
            </w:r>
            <w:r>
              <w:rPr>
                <w:rFonts w:ascii="Arial" w:hAnsi="Arial" w:cs="Arial"/>
              </w:rPr>
              <w:t>de l’Union</w:t>
            </w:r>
            <w:r>
              <w:rPr>
                <w:rFonts w:ascii="Arial" w:hAnsi="Arial" w:cs="Arial"/>
                <w:spacing w:val="-3"/>
              </w:rPr>
              <w:t xml:space="preserve"> </w:t>
            </w:r>
            <w:r>
              <w:rPr>
                <w:rFonts w:ascii="Arial" w:hAnsi="Arial" w:cs="Arial"/>
              </w:rPr>
              <w:t>européenne</w:t>
            </w:r>
          </w:p>
        </w:tc>
        <w:tc>
          <w:tcPr>
            <w:tcW w:w="7666" w:type="dxa"/>
            <w:tcBorders>
              <w:top w:val="single" w:sz="4" w:space="0" w:color="000000"/>
              <w:left w:val="single" w:sz="4" w:space="0" w:color="000000"/>
              <w:bottom w:val="single" w:sz="4" w:space="0" w:color="000000"/>
              <w:right w:val="single" w:sz="4" w:space="0" w:color="000000"/>
            </w:tcBorders>
            <w:shd w:val="clear" w:color="auto" w:fill="ECECEC"/>
            <w:vAlign w:val="center"/>
          </w:tcPr>
          <w:p w14:paraId="11303FBC" w14:textId="2FA155F3" w:rsidR="00BE66A6" w:rsidRDefault="00A71C6A">
            <w:pPr>
              <w:pStyle w:val="TableParagraph"/>
              <w:spacing w:before="120" w:after="120" w:line="243" w:lineRule="exact"/>
              <w:ind w:left="107" w:right="147"/>
              <w:jc w:val="both"/>
              <w:rPr>
                <w:rFonts w:ascii="Arial" w:hAnsi="Arial" w:cs="Arial"/>
              </w:rPr>
            </w:pPr>
            <w:r>
              <w:rPr>
                <w:rFonts w:ascii="Arial" w:hAnsi="Arial" w:cs="Arial"/>
              </w:rPr>
              <w:t>L'indicateur compte la longueur de la bande côtière, des berges et des rives d’eau ou lac protégées contre les phénomènes météorologiques extrêmes. L'infrastructure de protection prise en charge doit être nouvellement construite ou consolidée de manière significative.</w:t>
            </w:r>
          </w:p>
        </w:tc>
      </w:tr>
      <w:tr w:rsidR="00BE66A6" w14:paraId="1F1E7C45" w14:textId="77777777">
        <w:trPr>
          <w:trHeight w:val="489"/>
        </w:trPr>
        <w:tc>
          <w:tcPr>
            <w:tcW w:w="2549" w:type="dxa"/>
            <w:tcBorders>
              <w:top w:val="single" w:sz="4" w:space="0" w:color="000000"/>
              <w:left w:val="single" w:sz="4" w:space="0" w:color="000000"/>
              <w:bottom w:val="single" w:sz="4" w:space="0" w:color="000000"/>
              <w:right w:val="single" w:sz="4" w:space="0" w:color="000000"/>
            </w:tcBorders>
            <w:vAlign w:val="center"/>
          </w:tcPr>
          <w:p w14:paraId="2AEEDBAB" w14:textId="77777777" w:rsidR="00BE66A6" w:rsidRDefault="00A71C6A">
            <w:pPr>
              <w:pStyle w:val="TableParagraph"/>
              <w:spacing w:before="120" w:after="120"/>
              <w:ind w:left="87" w:right="80"/>
              <w:jc w:val="center"/>
            </w:pPr>
            <w:r>
              <w:rPr>
                <w:rFonts w:ascii="Arial" w:hAnsi="Arial" w:cs="Arial"/>
              </w:rPr>
              <w:t>Unité</w:t>
            </w:r>
            <w:r>
              <w:rPr>
                <w:rFonts w:ascii="Arial" w:hAnsi="Arial" w:cs="Arial"/>
                <w:spacing w:val="-2"/>
              </w:rPr>
              <w:t xml:space="preserve"> </w:t>
            </w:r>
            <w:r>
              <w:rPr>
                <w:rFonts w:ascii="Arial" w:hAnsi="Arial" w:cs="Arial"/>
              </w:rPr>
              <w:t>de</w:t>
            </w:r>
            <w:r>
              <w:rPr>
                <w:rFonts w:ascii="Arial" w:hAnsi="Arial" w:cs="Arial"/>
                <w:spacing w:val="-2"/>
              </w:rPr>
              <w:t xml:space="preserve"> </w:t>
            </w:r>
            <w:r>
              <w:rPr>
                <w:rFonts w:ascii="Arial" w:hAnsi="Arial" w:cs="Arial"/>
              </w:rPr>
              <w:t>mesure</w:t>
            </w:r>
          </w:p>
        </w:tc>
        <w:tc>
          <w:tcPr>
            <w:tcW w:w="7666" w:type="dxa"/>
            <w:tcBorders>
              <w:top w:val="single" w:sz="4" w:space="0" w:color="000000"/>
              <w:left w:val="single" w:sz="4" w:space="0" w:color="000000"/>
              <w:bottom w:val="single" w:sz="4" w:space="0" w:color="000000"/>
              <w:right w:val="single" w:sz="4" w:space="0" w:color="000000"/>
            </w:tcBorders>
            <w:vAlign w:val="center"/>
          </w:tcPr>
          <w:p w14:paraId="286E00B9" w14:textId="77777777" w:rsidR="00BE66A6" w:rsidRDefault="00A71C6A">
            <w:pPr>
              <w:pStyle w:val="TableParagraph"/>
              <w:spacing w:before="120" w:after="120" w:line="223" w:lineRule="exact"/>
              <w:ind w:left="108" w:right="147"/>
              <w:rPr>
                <w:rFonts w:ascii="Arial" w:hAnsi="Arial" w:cs="Arial"/>
                <w:bCs/>
              </w:rPr>
            </w:pPr>
            <w:r>
              <w:rPr>
                <w:rFonts w:ascii="Arial" w:hAnsi="Arial" w:cs="Arial"/>
                <w:bCs/>
              </w:rPr>
              <w:t>Kilomètres.</w:t>
            </w:r>
          </w:p>
        </w:tc>
      </w:tr>
      <w:tr w:rsidR="00BE66A6" w14:paraId="2CD95002" w14:textId="77777777">
        <w:trPr>
          <w:trHeight w:val="1708"/>
        </w:trPr>
        <w:tc>
          <w:tcPr>
            <w:tcW w:w="2549" w:type="dxa"/>
            <w:tcBorders>
              <w:top w:val="single" w:sz="4" w:space="0" w:color="000000"/>
              <w:left w:val="single" w:sz="4" w:space="0" w:color="000000"/>
              <w:bottom w:val="single" w:sz="4" w:space="0" w:color="000000"/>
              <w:right w:val="single" w:sz="4" w:space="0" w:color="000000"/>
            </w:tcBorders>
            <w:vAlign w:val="center"/>
          </w:tcPr>
          <w:p w14:paraId="6F922C58" w14:textId="77777777" w:rsidR="00BE66A6" w:rsidRDefault="00A71C6A">
            <w:pPr>
              <w:pStyle w:val="TableParagraph"/>
              <w:spacing w:before="1"/>
              <w:ind w:left="89" w:right="80"/>
              <w:jc w:val="center"/>
              <w:rPr>
                <w:rFonts w:ascii="Arial" w:hAnsi="Arial" w:cs="Arial"/>
              </w:rPr>
            </w:pPr>
            <w:r>
              <w:rPr>
                <w:rFonts w:ascii="Arial" w:hAnsi="Arial" w:cs="Arial"/>
              </w:rPr>
              <w:t>Points d’attention</w:t>
            </w:r>
          </w:p>
        </w:tc>
        <w:tc>
          <w:tcPr>
            <w:tcW w:w="7666" w:type="dxa"/>
            <w:tcBorders>
              <w:top w:val="single" w:sz="4" w:space="0" w:color="000000"/>
              <w:left w:val="single" w:sz="4" w:space="0" w:color="000000"/>
              <w:bottom w:val="single" w:sz="4" w:space="0" w:color="000000"/>
              <w:right w:val="single" w:sz="4" w:space="0" w:color="000000"/>
            </w:tcBorders>
            <w:shd w:val="clear" w:color="auto" w:fill="ECECEC"/>
            <w:vAlign w:val="center"/>
          </w:tcPr>
          <w:p w14:paraId="55BC1E88" w14:textId="77777777" w:rsidR="00BE66A6" w:rsidRDefault="00A71C6A">
            <w:pPr>
              <w:pStyle w:val="TableParagraph"/>
              <w:spacing w:before="120" w:after="120" w:line="243" w:lineRule="exact"/>
              <w:ind w:left="107" w:right="147"/>
              <w:jc w:val="both"/>
              <w:rPr>
                <w:rFonts w:ascii="Arial" w:hAnsi="Arial" w:cs="Arial"/>
              </w:rPr>
            </w:pPr>
            <w:r>
              <w:rPr>
                <w:rFonts w:ascii="Arial" w:hAnsi="Arial" w:cs="Arial"/>
              </w:rPr>
              <w:t>Exemples non-exhaustifs d’actions concernées :</w:t>
            </w:r>
          </w:p>
          <w:p w14:paraId="2CEC3D45" w14:textId="176FC503" w:rsidR="00BE66A6" w:rsidRDefault="00A71C6A">
            <w:pPr>
              <w:pStyle w:val="TableParagraph"/>
              <w:numPr>
                <w:ilvl w:val="0"/>
                <w:numId w:val="3"/>
              </w:numPr>
              <w:spacing w:line="243" w:lineRule="exact"/>
              <w:ind w:right="147"/>
              <w:jc w:val="both"/>
            </w:pPr>
            <w:r>
              <w:rPr>
                <w:rFonts w:ascii="Arial" w:hAnsi="Arial" w:cs="Arial"/>
              </w:rPr>
              <w:t xml:space="preserve">La mise en place, réfection et/ou l’amélioration contribuant au ralentissement dynamique des crues, </w:t>
            </w:r>
          </w:p>
          <w:p w14:paraId="7DF74F30" w14:textId="77777777" w:rsidR="00BE66A6" w:rsidRDefault="00A71C6A">
            <w:pPr>
              <w:pStyle w:val="TableParagraph"/>
              <w:numPr>
                <w:ilvl w:val="0"/>
                <w:numId w:val="3"/>
              </w:numPr>
              <w:spacing w:line="243" w:lineRule="exact"/>
              <w:ind w:right="147"/>
              <w:jc w:val="both"/>
            </w:pPr>
            <w:r>
              <w:rPr>
                <w:rFonts w:ascii="Arial" w:hAnsi="Arial" w:cs="Arial"/>
              </w:rPr>
              <w:t>La mise en place, réfection et/ou l’amélioration de zones d’expansion des crues ;</w:t>
            </w:r>
          </w:p>
          <w:p w14:paraId="5D2D45BD" w14:textId="46CE5B27" w:rsidR="00BE66A6" w:rsidRPr="00A71C6A" w:rsidRDefault="00A71C6A" w:rsidP="00A71C6A">
            <w:pPr>
              <w:pStyle w:val="TableParagraph"/>
              <w:numPr>
                <w:ilvl w:val="0"/>
                <w:numId w:val="3"/>
              </w:numPr>
              <w:spacing w:line="243" w:lineRule="exact"/>
              <w:ind w:right="147"/>
              <w:jc w:val="both"/>
              <w:rPr>
                <w:rFonts w:ascii="Arial" w:hAnsi="Arial" w:cs="Arial"/>
              </w:rPr>
            </w:pPr>
            <w:r>
              <w:rPr>
                <w:rFonts w:ascii="Arial" w:hAnsi="Arial" w:cs="Arial"/>
              </w:rPr>
              <w:t>La réfection ou neutralisation de systèmes d’endiguement ;</w:t>
            </w:r>
          </w:p>
        </w:tc>
      </w:tr>
      <w:tr w:rsidR="00BE66A6" w14:paraId="4D98D12F" w14:textId="77777777">
        <w:trPr>
          <w:trHeight w:val="201"/>
        </w:trPr>
        <w:tc>
          <w:tcPr>
            <w:tcW w:w="2549" w:type="dxa"/>
            <w:tcBorders>
              <w:top w:val="single" w:sz="4" w:space="0" w:color="000000"/>
              <w:left w:val="single" w:sz="4" w:space="0" w:color="000000"/>
              <w:bottom w:val="single" w:sz="4" w:space="0" w:color="000000"/>
              <w:right w:val="single" w:sz="4" w:space="0" w:color="000000"/>
            </w:tcBorders>
            <w:vAlign w:val="center"/>
          </w:tcPr>
          <w:p w14:paraId="27DF293B" w14:textId="77777777" w:rsidR="00BE66A6" w:rsidRDefault="00A71C6A">
            <w:pPr>
              <w:pStyle w:val="TableParagraph"/>
              <w:spacing w:before="1"/>
              <w:jc w:val="center"/>
              <w:rPr>
                <w:rFonts w:ascii="Arial" w:hAnsi="Arial" w:cs="Arial"/>
              </w:rPr>
            </w:pPr>
            <w:r>
              <w:rPr>
                <w:rFonts w:ascii="Arial" w:hAnsi="Arial" w:cs="Arial"/>
              </w:rPr>
              <w:t xml:space="preserve">Stade de </w:t>
            </w:r>
            <w:r>
              <w:rPr>
                <w:rFonts w:ascii="Arial" w:hAnsi="Arial" w:cs="Arial"/>
              </w:rPr>
              <w:br/>
              <w:t>la collecte</w:t>
            </w:r>
          </w:p>
        </w:tc>
        <w:tc>
          <w:tcPr>
            <w:tcW w:w="7666" w:type="dxa"/>
            <w:tcBorders>
              <w:top w:val="single" w:sz="4" w:space="0" w:color="000000"/>
              <w:left w:val="single" w:sz="4" w:space="0" w:color="000000"/>
              <w:bottom w:val="single" w:sz="4" w:space="0" w:color="000000"/>
              <w:right w:val="single" w:sz="4" w:space="0" w:color="000000"/>
            </w:tcBorders>
            <w:vAlign w:val="center"/>
          </w:tcPr>
          <w:p w14:paraId="373D815E" w14:textId="77777777" w:rsidR="00BE66A6" w:rsidRDefault="00A71C6A">
            <w:pPr>
              <w:pStyle w:val="TableParagraph"/>
              <w:spacing w:before="120" w:after="120"/>
              <w:ind w:left="133"/>
              <w:rPr>
                <w:rFonts w:ascii="Arial" w:hAnsi="Arial" w:cs="Arial"/>
              </w:rPr>
            </w:pPr>
            <w:r>
              <w:rPr>
                <w:rFonts w:ascii="Arial" w:hAnsi="Arial" w:cs="Arial"/>
              </w:rPr>
              <w:t>Achèvement du projet ou lors d’une demande de paiement (acompte/solde).</w:t>
            </w:r>
          </w:p>
        </w:tc>
      </w:tr>
    </w:tbl>
    <w:p w14:paraId="7A9DD056" w14:textId="77777777" w:rsidR="00BE66A6" w:rsidRDefault="00BE66A6">
      <w:pPr>
        <w:rPr>
          <w:rFonts w:ascii="Arial" w:hAnsi="Arial" w:cs="Arial"/>
        </w:rPr>
      </w:pPr>
    </w:p>
    <w:p w14:paraId="134E7266" w14:textId="77777777" w:rsidR="00BE66A6" w:rsidRDefault="00BE66A6">
      <w:pPr>
        <w:rPr>
          <w:rFonts w:ascii="Arial" w:hAnsi="Arial" w:cs="Arial"/>
        </w:rPr>
      </w:pPr>
    </w:p>
    <w:tbl>
      <w:tblPr>
        <w:tblW w:w="10216" w:type="dxa"/>
        <w:tblInd w:w="704" w:type="dxa"/>
        <w:tblLayout w:type="fixed"/>
        <w:tblCellMar>
          <w:left w:w="5" w:type="dxa"/>
          <w:right w:w="5" w:type="dxa"/>
        </w:tblCellMar>
        <w:tblLook w:val="0000" w:firstRow="0" w:lastRow="0" w:firstColumn="0" w:lastColumn="0" w:noHBand="0" w:noVBand="0"/>
      </w:tblPr>
      <w:tblGrid>
        <w:gridCol w:w="2549"/>
        <w:gridCol w:w="7667"/>
      </w:tblGrid>
      <w:tr w:rsidR="00BE66A6" w14:paraId="3FF693E1" w14:textId="77777777">
        <w:trPr>
          <w:trHeight w:val="201"/>
        </w:trPr>
        <w:tc>
          <w:tcPr>
            <w:tcW w:w="2549" w:type="dxa"/>
            <w:tcBorders>
              <w:top w:val="single" w:sz="4" w:space="0" w:color="000000"/>
              <w:left w:val="single" w:sz="4" w:space="0" w:color="000000"/>
              <w:bottom w:val="single" w:sz="4" w:space="0" w:color="000000"/>
              <w:right w:val="single" w:sz="4" w:space="0" w:color="000000"/>
            </w:tcBorders>
            <w:vAlign w:val="center"/>
          </w:tcPr>
          <w:p w14:paraId="43876FF9" w14:textId="77777777" w:rsidR="00BE66A6" w:rsidRDefault="00A71C6A">
            <w:pPr>
              <w:pStyle w:val="TableParagraph"/>
              <w:spacing w:before="120" w:after="120"/>
              <w:ind w:left="98" w:right="132"/>
              <w:jc w:val="center"/>
              <w:rPr>
                <w:rFonts w:ascii="Arial" w:hAnsi="Arial" w:cs="Arial"/>
                <w:b/>
              </w:rPr>
            </w:pPr>
            <w:r>
              <w:rPr>
                <w:rFonts w:ascii="Arial" w:hAnsi="Arial" w:cs="Arial"/>
                <w:b/>
              </w:rPr>
              <w:t>RCO26</w:t>
            </w:r>
          </w:p>
        </w:tc>
        <w:tc>
          <w:tcPr>
            <w:tcW w:w="7666" w:type="dxa"/>
            <w:tcBorders>
              <w:top w:val="single" w:sz="4" w:space="0" w:color="000000"/>
              <w:left w:val="single" w:sz="4" w:space="0" w:color="000000"/>
              <w:bottom w:val="single" w:sz="4" w:space="0" w:color="000000"/>
              <w:right w:val="single" w:sz="4" w:space="0" w:color="000000"/>
            </w:tcBorders>
            <w:vAlign w:val="center"/>
          </w:tcPr>
          <w:p w14:paraId="3DDF70C9" w14:textId="77777777" w:rsidR="00BE66A6" w:rsidRDefault="00A71C6A">
            <w:pPr>
              <w:pStyle w:val="TableParagraph"/>
              <w:spacing w:before="60" w:after="60"/>
              <w:ind w:left="1950" w:hanging="1797"/>
              <w:jc w:val="both"/>
              <w:rPr>
                <w:rFonts w:ascii="Arial" w:hAnsi="Arial" w:cs="Arial"/>
                <w:b/>
              </w:rPr>
            </w:pPr>
            <w:r>
              <w:rPr>
                <w:rFonts w:ascii="Arial" w:hAnsi="Arial" w:cs="Arial"/>
                <w:b/>
              </w:rPr>
              <w:t>Infrastructures vertes mises en place ou réaménagées en vue de l’adaptation au changement climatique</w:t>
            </w:r>
          </w:p>
        </w:tc>
      </w:tr>
      <w:tr w:rsidR="00BE66A6" w:rsidRPr="00FF6BE5" w14:paraId="18AD14C4" w14:textId="77777777">
        <w:trPr>
          <w:trHeight w:val="731"/>
        </w:trPr>
        <w:tc>
          <w:tcPr>
            <w:tcW w:w="2549" w:type="dxa"/>
            <w:tcBorders>
              <w:top w:val="single" w:sz="4" w:space="0" w:color="000000"/>
              <w:left w:val="single" w:sz="4" w:space="0" w:color="000000"/>
              <w:bottom w:val="single" w:sz="4" w:space="0" w:color="000000"/>
              <w:right w:val="single" w:sz="4" w:space="0" w:color="000000"/>
            </w:tcBorders>
            <w:vAlign w:val="center"/>
          </w:tcPr>
          <w:p w14:paraId="7193F5CD" w14:textId="77777777" w:rsidR="00BE66A6" w:rsidRDefault="00A71C6A">
            <w:pPr>
              <w:pStyle w:val="TableParagraph"/>
              <w:spacing w:before="60" w:line="243" w:lineRule="exact"/>
              <w:ind w:left="170" w:right="159"/>
              <w:jc w:val="center"/>
            </w:pPr>
            <w:r>
              <w:rPr>
                <w:rFonts w:ascii="Arial" w:hAnsi="Arial" w:cs="Arial"/>
              </w:rPr>
              <w:t>Définition</w:t>
            </w:r>
            <w:r>
              <w:rPr>
                <w:rFonts w:ascii="Arial" w:hAnsi="Arial" w:cs="Arial"/>
                <w:spacing w:val="-3"/>
              </w:rPr>
              <w:t xml:space="preserve"> </w:t>
            </w:r>
          </w:p>
          <w:p w14:paraId="5449BC39" w14:textId="77777777" w:rsidR="00BE66A6" w:rsidRDefault="00A71C6A">
            <w:pPr>
              <w:pStyle w:val="TableParagraph"/>
              <w:spacing w:line="243" w:lineRule="exact"/>
              <w:ind w:left="170" w:right="159"/>
              <w:jc w:val="center"/>
              <w:rPr>
                <w:rFonts w:ascii="Arial" w:hAnsi="Arial" w:cs="Arial"/>
              </w:rPr>
            </w:pPr>
            <w:r>
              <w:rPr>
                <w:rFonts w:ascii="Arial" w:hAnsi="Arial" w:cs="Arial"/>
              </w:rPr>
              <w:t>de l’Union</w:t>
            </w:r>
          </w:p>
          <w:p w14:paraId="2BC6AF33" w14:textId="77777777" w:rsidR="00BE66A6" w:rsidRDefault="00A71C6A">
            <w:pPr>
              <w:pStyle w:val="TableParagraph"/>
              <w:spacing w:after="60" w:line="223" w:lineRule="exact"/>
              <w:ind w:left="170" w:right="159"/>
              <w:jc w:val="center"/>
              <w:rPr>
                <w:rFonts w:ascii="Arial" w:hAnsi="Arial" w:cs="Arial"/>
              </w:rPr>
            </w:pPr>
            <w:bookmarkStart w:id="1" w:name="_Int_oHBm5N5e"/>
            <w:r>
              <w:rPr>
                <w:rFonts w:ascii="Arial" w:hAnsi="Arial" w:cs="Arial"/>
              </w:rPr>
              <w:t>européenne</w:t>
            </w:r>
            <w:bookmarkEnd w:id="1"/>
          </w:p>
        </w:tc>
        <w:tc>
          <w:tcPr>
            <w:tcW w:w="7666" w:type="dxa"/>
            <w:tcBorders>
              <w:top w:val="single" w:sz="4" w:space="0" w:color="000000"/>
              <w:left w:val="single" w:sz="4" w:space="0" w:color="000000"/>
              <w:bottom w:val="single" w:sz="4" w:space="0" w:color="000000"/>
              <w:right w:val="single" w:sz="4" w:space="0" w:color="000000"/>
            </w:tcBorders>
            <w:shd w:val="clear" w:color="auto" w:fill="ECECEC"/>
            <w:vAlign w:val="center"/>
          </w:tcPr>
          <w:p w14:paraId="003BFEDD" w14:textId="77777777" w:rsidR="00BE66A6" w:rsidRPr="00FE1EA1" w:rsidRDefault="00A71C6A">
            <w:pPr>
              <w:pStyle w:val="TableParagraph"/>
              <w:spacing w:before="60" w:after="60"/>
              <w:ind w:left="108" w:right="147"/>
              <w:jc w:val="both"/>
              <w:rPr>
                <w:lang w:val="en-GB"/>
              </w:rPr>
            </w:pPr>
            <w:r>
              <w:rPr>
                <w:rFonts w:ascii="Arial" w:hAnsi="Arial" w:cs="Arial"/>
              </w:rPr>
              <w:t xml:space="preserve">L'indicateur mesure la surface de l'infrastructure verte nouvellement construite ou modernisée de manière significative afin d'améliorer l'adaptation au changement climatique, par exemple en renforçant la protection contre les inondations et en empêchant l'érosion des sols. L'infrastructure verte fait généralement référence aux arbres, aux pelouses, aux haies, aux parcs, aux champs, aux forêts, etc. L'indicateur couvre également les infrastructures bleues telles que les éléments aquatiques, comme les rivières, les canaux, les étangs, les zones humides, les plaines inondables, les installations de traitement de l'eau, etc. </w:t>
            </w:r>
            <w:r>
              <w:rPr>
                <w:rFonts w:ascii="Arial" w:hAnsi="Arial" w:cs="Arial"/>
                <w:lang w:val="en-US"/>
              </w:rPr>
              <w:t xml:space="preserve">(voir Neumann </w:t>
            </w:r>
            <w:r>
              <w:rPr>
                <w:rFonts w:ascii="Arial" w:hAnsi="Arial" w:cs="Arial"/>
                <w:i/>
                <w:iCs/>
                <w:lang w:val="en-US"/>
              </w:rPr>
              <w:t>et al</w:t>
            </w:r>
            <w:r>
              <w:rPr>
                <w:rFonts w:ascii="Arial" w:hAnsi="Arial" w:cs="Arial"/>
                <w:lang w:val="en-US"/>
              </w:rPr>
              <w:t xml:space="preserve">. [2011] - </w:t>
            </w:r>
            <w:r>
              <w:rPr>
                <w:rFonts w:ascii="Arial" w:hAnsi="Arial" w:cs="Arial"/>
                <w:i/>
                <w:iCs/>
                <w:lang w:val="en-US"/>
              </w:rPr>
              <w:t>Assessment of the potential of ecosystem-based approaches to climate change adaptation and mitigation in Europe</w:t>
            </w:r>
            <w:r>
              <w:rPr>
                <w:rFonts w:ascii="Arial" w:hAnsi="Arial" w:cs="Arial"/>
                <w:lang w:val="en-US"/>
              </w:rPr>
              <w:t>).</w:t>
            </w:r>
          </w:p>
        </w:tc>
      </w:tr>
      <w:tr w:rsidR="00BE66A6" w14:paraId="4412B185" w14:textId="77777777">
        <w:trPr>
          <w:trHeight w:val="139"/>
        </w:trPr>
        <w:tc>
          <w:tcPr>
            <w:tcW w:w="2549" w:type="dxa"/>
            <w:tcBorders>
              <w:top w:val="single" w:sz="4" w:space="0" w:color="000000"/>
              <w:left w:val="single" w:sz="4" w:space="0" w:color="000000"/>
              <w:bottom w:val="single" w:sz="4" w:space="0" w:color="000000"/>
              <w:right w:val="single" w:sz="4" w:space="0" w:color="000000"/>
            </w:tcBorders>
            <w:vAlign w:val="center"/>
          </w:tcPr>
          <w:p w14:paraId="43026AB0" w14:textId="77777777" w:rsidR="00BE66A6" w:rsidRDefault="00A71C6A">
            <w:pPr>
              <w:pStyle w:val="TableParagraph"/>
              <w:spacing w:before="60" w:after="60" w:line="223" w:lineRule="exact"/>
              <w:ind w:left="170" w:right="159"/>
              <w:jc w:val="center"/>
            </w:pPr>
            <w:r>
              <w:rPr>
                <w:rFonts w:ascii="Arial" w:hAnsi="Arial" w:cs="Arial"/>
              </w:rPr>
              <w:t>Unité</w:t>
            </w:r>
            <w:r>
              <w:rPr>
                <w:rFonts w:ascii="Arial" w:hAnsi="Arial" w:cs="Arial"/>
                <w:spacing w:val="-2"/>
              </w:rPr>
              <w:t xml:space="preserve"> </w:t>
            </w:r>
            <w:r>
              <w:rPr>
                <w:rFonts w:ascii="Arial" w:hAnsi="Arial" w:cs="Arial"/>
              </w:rPr>
              <w:t>de</w:t>
            </w:r>
            <w:r>
              <w:rPr>
                <w:rFonts w:ascii="Arial" w:hAnsi="Arial" w:cs="Arial"/>
                <w:spacing w:val="-2"/>
              </w:rPr>
              <w:t xml:space="preserve"> m</w:t>
            </w:r>
            <w:r>
              <w:rPr>
                <w:rFonts w:ascii="Arial" w:hAnsi="Arial" w:cs="Arial"/>
              </w:rPr>
              <w:t>esure</w:t>
            </w:r>
          </w:p>
        </w:tc>
        <w:tc>
          <w:tcPr>
            <w:tcW w:w="7666" w:type="dxa"/>
            <w:tcBorders>
              <w:top w:val="single" w:sz="4" w:space="0" w:color="000000"/>
              <w:left w:val="single" w:sz="4" w:space="0" w:color="000000"/>
              <w:bottom w:val="single" w:sz="4" w:space="0" w:color="000000"/>
              <w:right w:val="single" w:sz="4" w:space="0" w:color="000000"/>
            </w:tcBorders>
            <w:vAlign w:val="center"/>
          </w:tcPr>
          <w:p w14:paraId="4EC3AEB8" w14:textId="77777777" w:rsidR="00BE66A6" w:rsidRDefault="00A71C6A">
            <w:pPr>
              <w:pStyle w:val="TableParagraph"/>
              <w:spacing w:before="120" w:after="120"/>
              <w:ind w:left="108" w:right="147"/>
              <w:rPr>
                <w:rFonts w:ascii="Arial" w:hAnsi="Arial" w:cs="Arial"/>
                <w:bCs/>
              </w:rPr>
            </w:pPr>
            <w:r>
              <w:rPr>
                <w:rFonts w:ascii="Arial" w:hAnsi="Arial" w:cs="Arial"/>
                <w:bCs/>
              </w:rPr>
              <w:t>Hectares (abrégé ha, unité de surface représentée par un carré de 100 mètres de côté, soit 100 000 m²)</w:t>
            </w:r>
          </w:p>
        </w:tc>
      </w:tr>
      <w:tr w:rsidR="00BE66A6" w14:paraId="131ED47F" w14:textId="77777777">
        <w:trPr>
          <w:trHeight w:val="70"/>
        </w:trPr>
        <w:tc>
          <w:tcPr>
            <w:tcW w:w="2549" w:type="dxa"/>
            <w:tcBorders>
              <w:top w:val="single" w:sz="4" w:space="0" w:color="000000"/>
              <w:left w:val="single" w:sz="4" w:space="0" w:color="000000"/>
              <w:bottom w:val="single" w:sz="4" w:space="0" w:color="000000"/>
              <w:right w:val="single" w:sz="4" w:space="0" w:color="000000"/>
            </w:tcBorders>
            <w:vAlign w:val="center"/>
          </w:tcPr>
          <w:p w14:paraId="1C310BA4" w14:textId="77777777" w:rsidR="00BE66A6" w:rsidRDefault="00A71C6A">
            <w:pPr>
              <w:pStyle w:val="TableParagraph"/>
              <w:ind w:left="170" w:right="156"/>
              <w:jc w:val="center"/>
              <w:rPr>
                <w:rFonts w:ascii="Arial" w:hAnsi="Arial" w:cs="Arial"/>
              </w:rPr>
            </w:pPr>
            <w:r>
              <w:rPr>
                <w:rFonts w:ascii="Arial" w:hAnsi="Arial" w:cs="Arial"/>
              </w:rPr>
              <w:t>Définitions complémentaires</w:t>
            </w:r>
          </w:p>
        </w:tc>
        <w:tc>
          <w:tcPr>
            <w:tcW w:w="7666" w:type="dxa"/>
            <w:tcBorders>
              <w:top w:val="single" w:sz="4" w:space="0" w:color="000000"/>
              <w:left w:val="single" w:sz="4" w:space="0" w:color="000000"/>
              <w:bottom w:val="single" w:sz="4" w:space="0" w:color="000000"/>
              <w:right w:val="single" w:sz="4" w:space="0" w:color="000000"/>
            </w:tcBorders>
            <w:shd w:val="clear" w:color="auto" w:fill="ECECEC"/>
            <w:vAlign w:val="center"/>
          </w:tcPr>
          <w:p w14:paraId="209861A1" w14:textId="77777777" w:rsidR="00BE66A6" w:rsidRDefault="00A71C6A">
            <w:pPr>
              <w:pStyle w:val="TableParagraph"/>
              <w:spacing w:before="60" w:after="60"/>
              <w:ind w:left="108" w:right="147"/>
              <w:jc w:val="both"/>
              <w:rPr>
                <w:rFonts w:ascii="Arial" w:hAnsi="Arial" w:cs="Arial"/>
              </w:rPr>
            </w:pPr>
            <w:r>
              <w:rPr>
                <w:rFonts w:ascii="Arial" w:hAnsi="Arial" w:cs="Arial"/>
              </w:rPr>
              <w:t>L'infrastructure verte est un réseau constitué de zones naturelles et semi-naturelles et d'autres éléments environnementaux faisant l'objet d'une planification stratégique, conçu et géré aux fins de la production d'une large gamme de services écosystémiques. Il intègre des espaces verts (ou aquatiques dans le cas d'écosystèmes de ce type) et d'autres éléments physiques des zones terrestres (y compris côtières) et marines. À terre, l'infrastructure verte se retrouve en milieu rural ou urbain.</w:t>
            </w:r>
          </w:p>
          <w:p w14:paraId="10E6292B" w14:textId="77777777" w:rsidR="00BE66A6" w:rsidRDefault="00BE66A6">
            <w:pPr>
              <w:pStyle w:val="TableParagraph"/>
              <w:spacing w:before="60" w:after="60"/>
              <w:ind w:left="108" w:right="147"/>
              <w:jc w:val="both"/>
              <w:rPr>
                <w:rFonts w:ascii="Arial" w:hAnsi="Arial" w:cs="Arial"/>
              </w:rPr>
            </w:pPr>
          </w:p>
          <w:p w14:paraId="68C61BA1" w14:textId="77777777" w:rsidR="00BE66A6" w:rsidRDefault="00A71C6A">
            <w:pPr>
              <w:pStyle w:val="TableParagraph"/>
              <w:spacing w:before="120" w:after="120"/>
              <w:ind w:left="108" w:right="147"/>
              <w:jc w:val="both"/>
              <w:rPr>
                <w:rFonts w:ascii="Arial" w:hAnsi="Arial" w:cs="Arial"/>
              </w:rPr>
            </w:pPr>
            <w:r>
              <w:rPr>
                <w:rFonts w:ascii="Arial" w:hAnsi="Arial" w:cs="Arial"/>
              </w:rPr>
              <w:t>Le principe de la multifonctionnalité de l'infrastructure verte, est sa capacité à accomplir plusieurs fonctions et fournir plusieurs bénéfices sur la même unité spatiale. La connectivité, écologique, désigne le degré de non-fragmentation écologique des milieux et paysages. L'infrastructure bleue est incluse dans la portée de cet indicateur.</w:t>
            </w:r>
          </w:p>
        </w:tc>
      </w:tr>
      <w:tr w:rsidR="00BE66A6" w14:paraId="2F94D242" w14:textId="77777777">
        <w:trPr>
          <w:trHeight w:val="3172"/>
        </w:trPr>
        <w:tc>
          <w:tcPr>
            <w:tcW w:w="2549" w:type="dxa"/>
            <w:tcBorders>
              <w:top w:val="single" w:sz="4" w:space="0" w:color="000000"/>
              <w:left w:val="single" w:sz="4" w:space="0" w:color="000000"/>
              <w:bottom w:val="single" w:sz="4" w:space="0" w:color="000000"/>
              <w:right w:val="single" w:sz="4" w:space="0" w:color="000000"/>
            </w:tcBorders>
            <w:vAlign w:val="center"/>
          </w:tcPr>
          <w:p w14:paraId="20CAB9EC" w14:textId="77777777" w:rsidR="00BE66A6" w:rsidRDefault="00A71C6A">
            <w:pPr>
              <w:pStyle w:val="TableParagraph"/>
              <w:ind w:left="166" w:right="156"/>
              <w:jc w:val="center"/>
              <w:rPr>
                <w:rFonts w:ascii="Arial" w:hAnsi="Arial" w:cs="Arial"/>
              </w:rPr>
            </w:pPr>
            <w:r>
              <w:rPr>
                <w:rFonts w:ascii="Arial" w:hAnsi="Arial" w:cs="Arial"/>
              </w:rPr>
              <w:lastRenderedPageBreak/>
              <w:t>Typologie indicative d’actions concernées</w:t>
            </w:r>
          </w:p>
        </w:tc>
        <w:tc>
          <w:tcPr>
            <w:tcW w:w="7666" w:type="dxa"/>
            <w:tcBorders>
              <w:top w:val="single" w:sz="4" w:space="0" w:color="000000"/>
              <w:left w:val="single" w:sz="4" w:space="0" w:color="000000"/>
              <w:bottom w:val="single" w:sz="4" w:space="0" w:color="000000"/>
              <w:right w:val="single" w:sz="4" w:space="0" w:color="000000"/>
            </w:tcBorders>
            <w:vAlign w:val="center"/>
          </w:tcPr>
          <w:p w14:paraId="0EB77875" w14:textId="1414BD39" w:rsidR="00BE66A6" w:rsidRDefault="00FF6BE5" w:rsidP="00414B3E">
            <w:pPr>
              <w:pStyle w:val="TableParagraph"/>
              <w:spacing w:after="120"/>
              <w:ind w:right="147"/>
              <w:jc w:val="both"/>
              <w:rPr>
                <w:rFonts w:ascii="Arial" w:hAnsi="Arial" w:cs="Arial"/>
              </w:rPr>
            </w:pPr>
            <w:r w:rsidRPr="00FF6BE5">
              <w:rPr>
                <w:rFonts w:ascii="Arial" w:hAnsi="Arial" w:cs="Arial"/>
              </w:rPr>
              <w:t>Zones d’expansion des crues réhabilitées ou remobilisées. Celles-ci peuvent être liées à un aménagement hydraulique.</w:t>
            </w:r>
          </w:p>
        </w:tc>
      </w:tr>
      <w:tr w:rsidR="00BE66A6" w14:paraId="39B742FD" w14:textId="77777777">
        <w:trPr>
          <w:trHeight w:val="489"/>
        </w:trPr>
        <w:tc>
          <w:tcPr>
            <w:tcW w:w="2549" w:type="dxa"/>
            <w:tcBorders>
              <w:top w:val="single" w:sz="4" w:space="0" w:color="000000"/>
              <w:left w:val="single" w:sz="4" w:space="0" w:color="000000"/>
              <w:bottom w:val="single" w:sz="4" w:space="0" w:color="000000"/>
              <w:right w:val="single" w:sz="4" w:space="0" w:color="000000"/>
            </w:tcBorders>
            <w:vAlign w:val="center"/>
          </w:tcPr>
          <w:p w14:paraId="7B52F8D4" w14:textId="77777777" w:rsidR="00BE66A6" w:rsidRDefault="00A71C6A">
            <w:pPr>
              <w:pStyle w:val="TableParagraph"/>
              <w:spacing w:before="120" w:after="120" w:line="242" w:lineRule="exact"/>
              <w:ind w:left="170" w:right="159"/>
              <w:jc w:val="center"/>
              <w:rPr>
                <w:rFonts w:ascii="Arial" w:hAnsi="Arial" w:cs="Arial"/>
              </w:rPr>
            </w:pPr>
            <w:r>
              <w:rPr>
                <w:rFonts w:ascii="Arial" w:hAnsi="Arial" w:cs="Arial"/>
              </w:rPr>
              <w:t xml:space="preserve">Stade de </w:t>
            </w:r>
            <w:r>
              <w:rPr>
                <w:rFonts w:ascii="Arial" w:hAnsi="Arial" w:cs="Arial"/>
              </w:rPr>
              <w:br/>
              <w:t>la collecte</w:t>
            </w:r>
          </w:p>
        </w:tc>
        <w:tc>
          <w:tcPr>
            <w:tcW w:w="7666" w:type="dxa"/>
            <w:tcBorders>
              <w:top w:val="single" w:sz="4" w:space="0" w:color="000000"/>
              <w:left w:val="single" w:sz="4" w:space="0" w:color="000000"/>
              <w:bottom w:val="single" w:sz="4" w:space="0" w:color="000000"/>
              <w:right w:val="single" w:sz="4" w:space="0" w:color="000000"/>
            </w:tcBorders>
            <w:shd w:val="clear" w:color="auto" w:fill="ECECEC"/>
            <w:vAlign w:val="center"/>
          </w:tcPr>
          <w:p w14:paraId="3920C877" w14:textId="77777777" w:rsidR="00BE66A6" w:rsidRDefault="00A71C6A">
            <w:pPr>
              <w:pStyle w:val="TableParagraph"/>
              <w:spacing w:before="120" w:after="120" w:line="243" w:lineRule="exact"/>
              <w:ind w:left="107" w:right="147"/>
              <w:jc w:val="both"/>
              <w:rPr>
                <w:rFonts w:ascii="Arial" w:hAnsi="Arial" w:cs="Arial"/>
              </w:rPr>
            </w:pPr>
            <w:r>
              <w:rPr>
                <w:rFonts w:ascii="Arial" w:hAnsi="Arial" w:cs="Arial"/>
              </w:rPr>
              <w:t>Achèvement du projet ou lors d’une demande de paiement (acompte/solde).</w:t>
            </w:r>
          </w:p>
        </w:tc>
      </w:tr>
    </w:tbl>
    <w:p w14:paraId="4691C1DF" w14:textId="3555BB0B" w:rsidR="00BE66A6" w:rsidRDefault="00BE66A6"/>
    <w:p w14:paraId="34F5695E" w14:textId="45D802DB" w:rsidR="00FE1EA1" w:rsidRDefault="00FE1EA1"/>
    <w:tbl>
      <w:tblPr>
        <w:tblW w:w="4474" w:type="pct"/>
        <w:tblInd w:w="6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554"/>
        <w:gridCol w:w="7661"/>
      </w:tblGrid>
      <w:tr w:rsidR="00FE1EA1" w:rsidRPr="00FE1EA1" w14:paraId="793B6EC6" w14:textId="77777777" w:rsidTr="00916D19">
        <w:trPr>
          <w:trHeight w:val="764"/>
        </w:trPr>
        <w:tc>
          <w:tcPr>
            <w:tcW w:w="1250" w:type="pct"/>
            <w:shd w:val="clear" w:color="auto" w:fill="FFFFFF"/>
            <w:tcMar>
              <w:top w:w="0" w:type="dxa"/>
              <w:left w:w="108" w:type="dxa"/>
              <w:bottom w:w="0" w:type="dxa"/>
              <w:right w:w="108" w:type="dxa"/>
            </w:tcMar>
            <w:vAlign w:val="center"/>
            <w:hideMark/>
          </w:tcPr>
          <w:p w14:paraId="553A8EE0" w14:textId="77777777" w:rsidR="00FE1EA1" w:rsidRPr="00FE1EA1" w:rsidRDefault="00FE1EA1">
            <w:pPr>
              <w:jc w:val="center"/>
              <w:rPr>
                <w:rFonts w:ascii="Arial" w:hAnsi="Arial" w:cs="Arial"/>
                <w:b/>
                <w:bCs/>
              </w:rPr>
            </w:pPr>
            <w:r w:rsidRPr="00FE1EA1">
              <w:rPr>
                <w:rFonts w:ascii="Arial" w:hAnsi="Arial" w:cs="Arial"/>
                <w:b/>
                <w:bCs/>
                <w:color w:val="000000"/>
              </w:rPr>
              <w:t>RCR35</w:t>
            </w:r>
          </w:p>
        </w:tc>
        <w:tc>
          <w:tcPr>
            <w:tcW w:w="3750" w:type="pct"/>
            <w:shd w:val="clear" w:color="auto" w:fill="FFFFFF"/>
            <w:tcMar>
              <w:top w:w="0" w:type="dxa"/>
              <w:left w:w="108" w:type="dxa"/>
              <w:bottom w:w="0" w:type="dxa"/>
              <w:right w:w="108" w:type="dxa"/>
            </w:tcMar>
            <w:vAlign w:val="center"/>
            <w:hideMark/>
          </w:tcPr>
          <w:p w14:paraId="42881286" w14:textId="77777777" w:rsidR="00FE1EA1" w:rsidRPr="00FE1EA1" w:rsidRDefault="00FE1EA1">
            <w:pPr>
              <w:jc w:val="center"/>
              <w:rPr>
                <w:rFonts w:ascii="Arial" w:hAnsi="Arial" w:cs="Arial"/>
                <w:b/>
                <w:bCs/>
              </w:rPr>
            </w:pPr>
            <w:r w:rsidRPr="00FE1EA1">
              <w:rPr>
                <w:rFonts w:ascii="Arial" w:hAnsi="Arial" w:cs="Arial"/>
                <w:b/>
                <w:bCs/>
                <w:color w:val="000000"/>
              </w:rPr>
              <w:t>Population bénéficiant de mesures de protection contre les inondations</w:t>
            </w:r>
          </w:p>
        </w:tc>
      </w:tr>
      <w:tr w:rsidR="00FE1EA1" w:rsidRPr="00FE1EA1" w14:paraId="1FAD840F" w14:textId="77777777" w:rsidTr="00916D19">
        <w:tc>
          <w:tcPr>
            <w:tcW w:w="1250" w:type="pct"/>
            <w:shd w:val="clear" w:color="auto" w:fill="FFFFFF"/>
            <w:tcMar>
              <w:top w:w="0" w:type="dxa"/>
              <w:left w:w="108" w:type="dxa"/>
              <w:bottom w:w="0" w:type="dxa"/>
              <w:right w:w="108" w:type="dxa"/>
            </w:tcMar>
            <w:vAlign w:val="center"/>
            <w:hideMark/>
          </w:tcPr>
          <w:p w14:paraId="7815A8CC" w14:textId="77777777" w:rsidR="00FE1EA1" w:rsidRPr="00FE1EA1" w:rsidRDefault="00FE1EA1">
            <w:pPr>
              <w:jc w:val="center"/>
              <w:rPr>
                <w:rFonts w:ascii="Arial" w:hAnsi="Arial" w:cs="Arial"/>
                <w:i/>
                <w:iCs/>
              </w:rPr>
            </w:pPr>
            <w:r w:rsidRPr="00FE1EA1">
              <w:rPr>
                <w:rFonts w:ascii="Arial" w:hAnsi="Arial" w:cs="Arial"/>
                <w:color w:val="000000"/>
              </w:rPr>
              <w:t>Précisions méthodologiques</w:t>
            </w:r>
          </w:p>
        </w:tc>
        <w:tc>
          <w:tcPr>
            <w:tcW w:w="3750" w:type="pct"/>
            <w:shd w:val="clear" w:color="auto" w:fill="EDEDED"/>
            <w:tcMar>
              <w:top w:w="0" w:type="dxa"/>
              <w:left w:w="108" w:type="dxa"/>
              <w:bottom w:w="0" w:type="dxa"/>
              <w:right w:w="108" w:type="dxa"/>
            </w:tcMar>
            <w:vAlign w:val="center"/>
          </w:tcPr>
          <w:p w14:paraId="71F99883" w14:textId="1FB5AF3F" w:rsidR="00FE1EA1" w:rsidRPr="00FE1EA1" w:rsidRDefault="00FE1EA1">
            <w:pPr>
              <w:rPr>
                <w:rFonts w:ascii="Arial" w:hAnsi="Arial" w:cs="Arial"/>
              </w:rPr>
            </w:pPr>
            <w:r w:rsidRPr="00FE1EA1">
              <w:rPr>
                <w:rFonts w:ascii="Arial" w:hAnsi="Arial" w:cs="Arial"/>
                <w:color w:val="000000"/>
              </w:rPr>
              <w:t xml:space="preserve">Nombre de résidents couverts par les mesures de protection contre les inondations mises en œuvre par les projets soutenus. L'indicateur mesure la population résidente vivant dans une zone exposée aux risques d'inondation et où la vulnérabilité a diminué en raison du projet soutenu. L'indicateur comptabilise la population </w:t>
            </w:r>
            <w:r w:rsidR="00FF6BE5" w:rsidRPr="00FF6BE5">
              <w:rPr>
                <w:rFonts w:ascii="Arial" w:hAnsi="Arial" w:cs="Arial"/>
                <w:color w:val="000000"/>
              </w:rPr>
              <w:t>résidente estimée exposée au risque d'inondation bénéficiant directement et indirectement de l’action</w:t>
            </w:r>
            <w:r w:rsidRPr="00FE1EA1">
              <w:rPr>
                <w:rFonts w:ascii="Arial" w:hAnsi="Arial" w:cs="Arial"/>
                <w:color w:val="000000"/>
              </w:rPr>
              <w:t>.</w:t>
            </w:r>
          </w:p>
          <w:p w14:paraId="0F5CC3EB" w14:textId="77777777" w:rsidR="00FE1EA1" w:rsidRPr="00FE1EA1" w:rsidRDefault="00FE1EA1">
            <w:pPr>
              <w:rPr>
                <w:rFonts w:ascii="Arial" w:hAnsi="Arial" w:cs="Arial"/>
              </w:rPr>
            </w:pPr>
          </w:p>
          <w:p w14:paraId="0ECCFF73" w14:textId="42BFC8CF" w:rsidR="00FF6BE5" w:rsidRDefault="00FE1EA1">
            <w:pPr>
              <w:rPr>
                <w:rFonts w:ascii="Arial" w:hAnsi="Arial" w:cs="Arial"/>
                <w:color w:val="000000"/>
              </w:rPr>
            </w:pPr>
            <w:r w:rsidRPr="00FE1EA1">
              <w:rPr>
                <w:rFonts w:ascii="Arial" w:hAnsi="Arial" w:cs="Arial"/>
                <w:color w:val="000000"/>
              </w:rPr>
              <w:t>Les mesures de protection contre les inondations comprennent les barrages ou conduites forcées, les systèmes d’endiguement, les aménagements hydrauliques (décret n° 2019-119 du 21 février 2019, C. envir., art. R. 214-116, III</w:t>
            </w:r>
            <w:r w:rsidR="00FF6BE5">
              <w:rPr>
                <w:rFonts w:ascii="Arial" w:hAnsi="Arial" w:cs="Arial"/>
                <w:color w:val="000000"/>
              </w:rPr>
              <w:t>),</w:t>
            </w:r>
            <w:r w:rsidR="00FF6BE5" w:rsidRPr="00FF6BE5">
              <w:rPr>
                <w:rFonts w:ascii="Arial" w:hAnsi="Arial" w:cs="Arial"/>
                <w:color w:val="000000"/>
              </w:rPr>
              <w:t xml:space="preserve"> les zones d’expansion des crues.</w:t>
            </w:r>
          </w:p>
          <w:p w14:paraId="5287853D" w14:textId="340F5F69" w:rsidR="00FF6BE5" w:rsidRDefault="00FF6BE5">
            <w:pPr>
              <w:rPr>
                <w:rFonts w:ascii="Arial" w:hAnsi="Arial" w:cs="Arial"/>
                <w:color w:val="000000"/>
              </w:rPr>
            </w:pPr>
          </w:p>
          <w:p w14:paraId="4CCC0859" w14:textId="35DB158A" w:rsidR="00FF6BE5" w:rsidRDefault="00FF6BE5">
            <w:pPr>
              <w:rPr>
                <w:rFonts w:ascii="Arial" w:hAnsi="Arial" w:cs="Arial"/>
                <w:color w:val="000000"/>
              </w:rPr>
            </w:pPr>
            <w:r w:rsidRPr="00FF6BE5">
              <w:rPr>
                <w:rFonts w:ascii="Arial" w:hAnsi="Arial" w:cs="Arial"/>
                <w:color w:val="000000"/>
              </w:rPr>
              <w:t>Sont également comptabilisés les plans de continuité d’activités et les diagnostics de vulnérabilité.</w:t>
            </w:r>
          </w:p>
          <w:p w14:paraId="21EC13A7" w14:textId="77777777" w:rsidR="00FF6BE5" w:rsidRDefault="00FF6BE5">
            <w:pPr>
              <w:rPr>
                <w:rFonts w:ascii="Arial" w:hAnsi="Arial" w:cs="Arial"/>
                <w:color w:val="000000"/>
              </w:rPr>
            </w:pPr>
          </w:p>
          <w:p w14:paraId="74D4B841" w14:textId="30D61378" w:rsidR="00FE1EA1" w:rsidRPr="00FE1EA1" w:rsidRDefault="00FE1EA1">
            <w:pPr>
              <w:rPr>
                <w:rFonts w:ascii="Arial" w:hAnsi="Arial" w:cs="Arial"/>
              </w:rPr>
            </w:pPr>
            <w:r w:rsidRPr="00FE1EA1">
              <w:rPr>
                <w:rFonts w:ascii="Arial" w:hAnsi="Arial" w:cs="Arial"/>
                <w:color w:val="000000"/>
                <w:u w:val="single"/>
              </w:rPr>
              <w:t>Les études sont considérées comme des mesures de protection également</w:t>
            </w:r>
            <w:r w:rsidRPr="00FE1EA1">
              <w:rPr>
                <w:rFonts w:ascii="Arial" w:hAnsi="Arial" w:cs="Arial"/>
                <w:color w:val="000000"/>
              </w:rPr>
              <w:t>. Elles permettent de mesurer les risques, leurs effets et d'évaluer les mesures optimales de prévention de ces risques et de protection des personnes et des biens.</w:t>
            </w:r>
          </w:p>
        </w:tc>
      </w:tr>
      <w:tr w:rsidR="00FE1EA1" w:rsidRPr="00FE1EA1" w14:paraId="27C60469" w14:textId="77777777" w:rsidTr="00916D19">
        <w:tc>
          <w:tcPr>
            <w:tcW w:w="1250" w:type="pct"/>
            <w:shd w:val="clear" w:color="auto" w:fill="FFFFFF"/>
            <w:tcMar>
              <w:top w:w="0" w:type="dxa"/>
              <w:left w:w="108" w:type="dxa"/>
              <w:bottom w:w="0" w:type="dxa"/>
              <w:right w:w="108" w:type="dxa"/>
            </w:tcMar>
            <w:vAlign w:val="center"/>
            <w:hideMark/>
          </w:tcPr>
          <w:p w14:paraId="5EB00365" w14:textId="77777777" w:rsidR="00FE1EA1" w:rsidRPr="00FE1EA1" w:rsidRDefault="00FE1EA1">
            <w:pPr>
              <w:jc w:val="center"/>
              <w:rPr>
                <w:rFonts w:ascii="Arial" w:hAnsi="Arial" w:cs="Arial"/>
                <w:i/>
                <w:iCs/>
              </w:rPr>
            </w:pPr>
            <w:r w:rsidRPr="00FE1EA1">
              <w:rPr>
                <w:rFonts w:ascii="Arial" w:hAnsi="Arial" w:cs="Arial"/>
                <w:color w:val="000000"/>
              </w:rPr>
              <w:t>Unité de mesure</w:t>
            </w:r>
          </w:p>
        </w:tc>
        <w:tc>
          <w:tcPr>
            <w:tcW w:w="3750" w:type="pct"/>
            <w:tcMar>
              <w:top w:w="0" w:type="dxa"/>
              <w:left w:w="108" w:type="dxa"/>
              <w:bottom w:w="0" w:type="dxa"/>
              <w:right w:w="108" w:type="dxa"/>
            </w:tcMar>
            <w:vAlign w:val="center"/>
            <w:hideMark/>
          </w:tcPr>
          <w:p w14:paraId="217F32A1" w14:textId="77777777" w:rsidR="00FE1EA1" w:rsidRPr="00FE1EA1" w:rsidRDefault="00FE1EA1">
            <w:pPr>
              <w:rPr>
                <w:rFonts w:ascii="Arial" w:hAnsi="Arial" w:cs="Arial"/>
              </w:rPr>
            </w:pPr>
            <w:r w:rsidRPr="00FE1EA1">
              <w:rPr>
                <w:rFonts w:ascii="Arial" w:hAnsi="Arial" w:cs="Arial"/>
              </w:rPr>
              <w:t>Personnes</w:t>
            </w:r>
          </w:p>
        </w:tc>
      </w:tr>
      <w:tr w:rsidR="00FE1EA1" w:rsidRPr="00FE1EA1" w14:paraId="7EF22A6B" w14:textId="77777777" w:rsidTr="00916D19">
        <w:tc>
          <w:tcPr>
            <w:tcW w:w="1250" w:type="pct"/>
            <w:shd w:val="clear" w:color="auto" w:fill="FFFFFF"/>
            <w:tcMar>
              <w:top w:w="0" w:type="dxa"/>
              <w:left w:w="108" w:type="dxa"/>
              <w:bottom w:w="0" w:type="dxa"/>
              <w:right w:w="108" w:type="dxa"/>
            </w:tcMar>
            <w:vAlign w:val="center"/>
            <w:hideMark/>
          </w:tcPr>
          <w:p w14:paraId="72A3F347" w14:textId="77777777" w:rsidR="00FE1EA1" w:rsidRPr="00FE1EA1" w:rsidRDefault="00FE1EA1">
            <w:pPr>
              <w:jc w:val="center"/>
              <w:rPr>
                <w:rFonts w:ascii="Arial" w:hAnsi="Arial" w:cs="Arial"/>
                <w:i/>
                <w:iCs/>
              </w:rPr>
            </w:pPr>
            <w:r w:rsidRPr="00FE1EA1">
              <w:rPr>
                <w:rFonts w:ascii="Arial" w:hAnsi="Arial" w:cs="Arial"/>
                <w:color w:val="000000"/>
              </w:rPr>
              <w:t>Exemples non-exhaustifs d’actions concernées</w:t>
            </w:r>
          </w:p>
        </w:tc>
        <w:tc>
          <w:tcPr>
            <w:tcW w:w="3750" w:type="pct"/>
            <w:shd w:val="clear" w:color="auto" w:fill="EDEDED"/>
            <w:tcMar>
              <w:top w:w="0" w:type="dxa"/>
              <w:left w:w="108" w:type="dxa"/>
              <w:bottom w:w="0" w:type="dxa"/>
              <w:right w:w="108" w:type="dxa"/>
            </w:tcMar>
            <w:vAlign w:val="center"/>
            <w:hideMark/>
          </w:tcPr>
          <w:p w14:paraId="16B8E168" w14:textId="77777777" w:rsidR="00FE1EA1" w:rsidRPr="00FE1EA1" w:rsidRDefault="00FE1EA1" w:rsidP="00FE1EA1">
            <w:pPr>
              <w:pStyle w:val="Paragraphedeliste"/>
              <w:widowControl/>
              <w:numPr>
                <w:ilvl w:val="0"/>
                <w:numId w:val="6"/>
              </w:numPr>
              <w:suppressAutoHyphens w:val="0"/>
              <w:contextualSpacing/>
              <w:jc w:val="both"/>
              <w:rPr>
                <w:rFonts w:ascii="Arial" w:eastAsia="Times New Roman" w:hAnsi="Arial" w:cs="Arial"/>
              </w:rPr>
            </w:pPr>
            <w:r w:rsidRPr="00FE1EA1">
              <w:rPr>
                <w:rFonts w:ascii="Arial" w:eastAsia="Times New Roman" w:hAnsi="Arial" w:cs="Arial"/>
                <w:color w:val="000000"/>
              </w:rPr>
              <w:t>Les études et travaux visant : la mise en place, réfection et/ou l’amélioration d’ouvrages hydrauliques et d’aménagements contribuant au ralentissement dynamique des crues, de zones d’expansion des crues OU la réfection ou neutralisation de systèmes d’endiguement ;</w:t>
            </w:r>
          </w:p>
          <w:p w14:paraId="4DAC1AF0" w14:textId="77777777" w:rsidR="00FE1EA1" w:rsidRPr="00FE1EA1" w:rsidRDefault="00FE1EA1" w:rsidP="00FE1EA1">
            <w:pPr>
              <w:pStyle w:val="Paragraphedeliste"/>
              <w:widowControl/>
              <w:numPr>
                <w:ilvl w:val="0"/>
                <w:numId w:val="6"/>
              </w:numPr>
              <w:suppressAutoHyphens w:val="0"/>
              <w:contextualSpacing/>
              <w:jc w:val="both"/>
              <w:rPr>
                <w:rFonts w:ascii="Arial" w:eastAsia="Times New Roman" w:hAnsi="Arial" w:cs="Arial"/>
              </w:rPr>
            </w:pPr>
            <w:r w:rsidRPr="00FE1EA1">
              <w:rPr>
                <w:rFonts w:ascii="Arial" w:eastAsia="Times New Roman" w:hAnsi="Arial" w:cs="Arial"/>
                <w:color w:val="000000"/>
              </w:rPr>
              <w:t>Les diagnostics de vulnérabilité des territoires ;</w:t>
            </w:r>
          </w:p>
          <w:p w14:paraId="5E923FF4" w14:textId="77777777" w:rsidR="00FE1EA1" w:rsidRPr="00FE1EA1" w:rsidRDefault="00FE1EA1" w:rsidP="00FE1EA1">
            <w:pPr>
              <w:pStyle w:val="Paragraphedeliste"/>
              <w:widowControl/>
              <w:numPr>
                <w:ilvl w:val="0"/>
                <w:numId w:val="6"/>
              </w:numPr>
              <w:suppressAutoHyphens w:val="0"/>
              <w:contextualSpacing/>
              <w:jc w:val="both"/>
              <w:rPr>
                <w:rFonts w:ascii="Arial" w:eastAsia="Times New Roman" w:hAnsi="Arial" w:cs="Arial"/>
              </w:rPr>
            </w:pPr>
            <w:r w:rsidRPr="00FE1EA1">
              <w:rPr>
                <w:rFonts w:ascii="Arial" w:eastAsia="Times New Roman" w:hAnsi="Arial" w:cs="Arial"/>
                <w:color w:val="000000"/>
              </w:rPr>
              <w:t>Les actions pour la prise compte du fleuve et de ses affluents dans les documents d’urbanisme ;</w:t>
            </w:r>
          </w:p>
          <w:p w14:paraId="2BAC5A85" w14:textId="77777777" w:rsidR="00FE1EA1" w:rsidRPr="00FE1EA1" w:rsidRDefault="00FE1EA1" w:rsidP="00FE1EA1">
            <w:pPr>
              <w:pStyle w:val="Paragraphedeliste"/>
              <w:widowControl/>
              <w:numPr>
                <w:ilvl w:val="0"/>
                <w:numId w:val="6"/>
              </w:numPr>
              <w:suppressAutoHyphens w:val="0"/>
              <w:contextualSpacing/>
              <w:jc w:val="both"/>
              <w:rPr>
                <w:rFonts w:ascii="Arial" w:eastAsia="Times New Roman" w:hAnsi="Arial" w:cs="Arial"/>
              </w:rPr>
            </w:pPr>
            <w:r w:rsidRPr="00FE1EA1">
              <w:rPr>
                <w:rFonts w:ascii="Arial" w:eastAsia="Times New Roman" w:hAnsi="Arial" w:cs="Arial"/>
                <w:color w:val="000000"/>
              </w:rPr>
              <w:t>L’élaboration de plans de continuité d’activités et de services en cas d’inondation ;</w:t>
            </w:r>
          </w:p>
          <w:p w14:paraId="0E1962DB" w14:textId="77777777" w:rsidR="00FE1EA1" w:rsidRPr="00FE1EA1" w:rsidRDefault="00FE1EA1" w:rsidP="00FE1EA1">
            <w:pPr>
              <w:pStyle w:val="Paragraphedeliste"/>
              <w:widowControl/>
              <w:numPr>
                <w:ilvl w:val="0"/>
                <w:numId w:val="6"/>
              </w:numPr>
              <w:suppressAutoHyphens w:val="0"/>
              <w:contextualSpacing/>
              <w:jc w:val="both"/>
              <w:rPr>
                <w:rFonts w:ascii="Arial" w:eastAsia="Times New Roman" w:hAnsi="Arial" w:cs="Arial"/>
              </w:rPr>
            </w:pPr>
            <w:r w:rsidRPr="00FE1EA1">
              <w:rPr>
                <w:rFonts w:ascii="Arial" w:eastAsia="Times New Roman" w:hAnsi="Arial" w:cs="Arial"/>
                <w:color w:val="000000"/>
              </w:rPr>
              <w:t>Les actions d’animation, de suivi et de communication liées à la gestion du risque.</w:t>
            </w:r>
          </w:p>
        </w:tc>
      </w:tr>
      <w:tr w:rsidR="00FE1EA1" w:rsidRPr="00FE1EA1" w14:paraId="6EE73D56" w14:textId="77777777" w:rsidTr="00916D19">
        <w:tc>
          <w:tcPr>
            <w:tcW w:w="1250" w:type="pct"/>
            <w:shd w:val="clear" w:color="auto" w:fill="FFFFFF"/>
            <w:tcMar>
              <w:top w:w="0" w:type="dxa"/>
              <w:left w:w="108" w:type="dxa"/>
              <w:bottom w:w="0" w:type="dxa"/>
              <w:right w:w="108" w:type="dxa"/>
            </w:tcMar>
            <w:vAlign w:val="center"/>
            <w:hideMark/>
          </w:tcPr>
          <w:p w14:paraId="2B525A49" w14:textId="77777777" w:rsidR="00FE1EA1" w:rsidRPr="00FE1EA1" w:rsidRDefault="00FE1EA1">
            <w:pPr>
              <w:jc w:val="center"/>
              <w:rPr>
                <w:rFonts w:ascii="Arial" w:eastAsiaTheme="minorHAnsi" w:hAnsi="Arial" w:cs="Arial"/>
                <w:i/>
                <w:iCs/>
              </w:rPr>
            </w:pPr>
            <w:r w:rsidRPr="00FE1EA1">
              <w:rPr>
                <w:rFonts w:ascii="Arial" w:hAnsi="Arial" w:cs="Arial"/>
                <w:color w:val="000000"/>
              </w:rPr>
              <w:t>Stade de la collecte</w:t>
            </w:r>
          </w:p>
        </w:tc>
        <w:tc>
          <w:tcPr>
            <w:tcW w:w="3750" w:type="pct"/>
            <w:tcMar>
              <w:top w:w="0" w:type="dxa"/>
              <w:left w:w="108" w:type="dxa"/>
              <w:bottom w:w="0" w:type="dxa"/>
              <w:right w:w="108" w:type="dxa"/>
            </w:tcMar>
            <w:vAlign w:val="center"/>
            <w:hideMark/>
          </w:tcPr>
          <w:p w14:paraId="115E6F79" w14:textId="77777777" w:rsidR="00FE1EA1" w:rsidRPr="00FE1EA1" w:rsidRDefault="00FE1EA1">
            <w:pPr>
              <w:rPr>
                <w:rFonts w:ascii="Arial" w:hAnsi="Arial" w:cs="Arial"/>
              </w:rPr>
            </w:pPr>
            <w:r w:rsidRPr="00FE1EA1">
              <w:rPr>
                <w:rFonts w:ascii="Arial" w:hAnsi="Arial" w:cs="Arial"/>
              </w:rPr>
              <w:t>Achèvement du projet ou lors d’une demande de paiement (acompte/solde)</w:t>
            </w:r>
          </w:p>
        </w:tc>
      </w:tr>
    </w:tbl>
    <w:p w14:paraId="0AF25EE2" w14:textId="77777777" w:rsidR="00FE1EA1" w:rsidRPr="00FE1EA1" w:rsidRDefault="00FE1EA1">
      <w:pPr>
        <w:rPr>
          <w:rFonts w:ascii="Arial" w:hAnsi="Arial" w:cs="Arial"/>
        </w:rPr>
      </w:pPr>
    </w:p>
    <w:sectPr w:rsidR="00FE1EA1" w:rsidRPr="00FE1EA1">
      <w:footerReference w:type="default" r:id="rId9"/>
      <w:headerReference w:type="first" r:id="rId10"/>
      <w:footerReference w:type="first" r:id="rId11"/>
      <w:pgSz w:w="11906" w:h="16838"/>
      <w:pgMar w:top="1400" w:right="240" w:bottom="1120" w:left="240" w:header="283" w:footer="567" w:gutter="0"/>
      <w:cols w:space="720"/>
      <w:formProt w:val="0"/>
      <w:titlePg/>
      <w:docGrid w:linePitch="299"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8C6E4C" w14:textId="77777777" w:rsidR="00612DA1" w:rsidRDefault="00A71C6A">
      <w:r>
        <w:separator/>
      </w:r>
    </w:p>
  </w:endnote>
  <w:endnote w:type="continuationSeparator" w:id="0">
    <w:p w14:paraId="08A578BA" w14:textId="77777777" w:rsidR="00612DA1" w:rsidRDefault="00A71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sig w:usb0="E0000AFF" w:usb1="500078FF" w:usb2="00000021" w:usb3="00000000" w:csb0="000001B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DD660" w14:textId="77777777" w:rsidR="00BE66A6" w:rsidRDefault="00A71C6A">
    <w:pPr>
      <w:pStyle w:val="Pieddepage"/>
      <w:ind w:left="426"/>
      <w:rPr>
        <w:rFonts w:ascii="Arial" w:hAnsi="Arial" w:cs="Arial"/>
        <w:sz w:val="18"/>
        <w:szCs w:val="18"/>
      </w:rPr>
    </w:pPr>
    <w:r>
      <w:rPr>
        <w:rFonts w:ascii="Arial" w:hAnsi="Arial" w:cs="Arial"/>
        <w:sz w:val="18"/>
        <w:szCs w:val="18"/>
      </w:rPr>
      <w:t>Programme régional Île-de-France et bassin de la Seine FEDER-FSE+ 2021-2027</w:t>
    </w:r>
  </w:p>
  <w:p w14:paraId="7A4622B9" w14:textId="0857B29C" w:rsidR="00BE66A6" w:rsidRDefault="00A71C6A">
    <w:pPr>
      <w:pStyle w:val="Pieddepage"/>
      <w:ind w:left="426"/>
    </w:pPr>
    <w:r>
      <w:rPr>
        <w:rFonts w:ascii="Arial" w:hAnsi="Arial" w:cs="Arial"/>
        <w:sz w:val="18"/>
        <w:szCs w:val="18"/>
      </w:rPr>
      <w:t xml:space="preserve">Appel à projets DRIEAT - FEDER 2024 "Inondation" (OS 2.4-1)                            </w:t>
    </w:r>
    <w:r>
      <w:rPr>
        <w:rFonts w:ascii="Arial" w:hAnsi="Arial" w:cs="Arial"/>
        <w:b/>
        <w:bCs/>
        <w:sz w:val="18"/>
        <w:szCs w:val="18"/>
      </w:rPr>
      <w:t xml:space="preserve">Annexe 6 </w:t>
    </w:r>
    <w:r>
      <w:rPr>
        <w:rFonts w:ascii="Arial" w:hAnsi="Arial" w:cs="Arial"/>
        <w:b/>
        <w:bCs/>
        <w:sz w:val="18"/>
        <w:szCs w:val="18"/>
      </w:rPr>
      <w:tab/>
      <w:t xml:space="preserve">          </w:t>
    </w:r>
    <w:r>
      <w:rPr>
        <w:rFonts w:ascii="Arial" w:hAnsi="Arial" w:cs="Arial"/>
        <w:sz w:val="18"/>
        <w:szCs w:val="18"/>
      </w:rPr>
      <w:t>(</w:t>
    </w:r>
    <w:r w:rsidR="00AC25FD">
      <w:rPr>
        <w:rFonts w:ascii="Arial" w:hAnsi="Arial" w:cs="Arial"/>
        <w:sz w:val="18"/>
        <w:szCs w:val="18"/>
      </w:rPr>
      <w:t>08 mars</w:t>
    </w:r>
    <w:r>
      <w:rPr>
        <w:rFonts w:ascii="Arial" w:hAnsi="Arial" w:cs="Arial"/>
        <w:sz w:val="18"/>
        <w:szCs w:val="18"/>
      </w:rPr>
      <w:t xml:space="preserve"> 2024)</w:t>
    </w:r>
  </w:p>
  <w:p w14:paraId="6FAF0B2A" w14:textId="77777777" w:rsidR="00BE66A6" w:rsidRDefault="00A71C6A">
    <w:pPr>
      <w:pStyle w:val="Pieddepage"/>
      <w:ind w:left="567"/>
    </w:pPr>
    <w:r>
      <w:fldChar w:fldCharType="begin"/>
    </w:r>
    <w:r>
      <w:instrText xml:space="preserve"> PAGE </w:instrText>
    </w:r>
    <w:r>
      <w:fldChar w:fldCharType="separate"/>
    </w:r>
    <w:r>
      <w:t>5</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AC6CA" w14:textId="77777777" w:rsidR="00BE66A6" w:rsidRDefault="00A71C6A">
    <w:pPr>
      <w:pStyle w:val="Pieddepage"/>
      <w:ind w:left="284"/>
      <w:rPr>
        <w:rFonts w:ascii="Arial" w:hAnsi="Arial" w:cs="Arial"/>
        <w:sz w:val="18"/>
        <w:szCs w:val="18"/>
      </w:rPr>
    </w:pPr>
    <w:r>
      <w:rPr>
        <w:rFonts w:ascii="Arial" w:hAnsi="Arial" w:cs="Arial"/>
        <w:sz w:val="18"/>
        <w:szCs w:val="18"/>
      </w:rPr>
      <w:t>Programme régional Île-de-France et bassin de la Seine FEDER-FSE+ 2021-2027</w:t>
    </w:r>
  </w:p>
  <w:p w14:paraId="1288E18B" w14:textId="3638A6A0" w:rsidR="00BE66A6" w:rsidRDefault="00A71C6A">
    <w:pPr>
      <w:pStyle w:val="Pieddepage"/>
      <w:ind w:left="284"/>
    </w:pPr>
    <w:r>
      <w:rPr>
        <w:rFonts w:ascii="Arial" w:hAnsi="Arial" w:cs="Arial"/>
        <w:sz w:val="18"/>
        <w:szCs w:val="18"/>
      </w:rPr>
      <w:t xml:space="preserve">Appel à projets DRIEAT - FEDER 2024 "Inondation" (OS 2.4-1)                            </w:t>
    </w:r>
    <w:r>
      <w:rPr>
        <w:rFonts w:ascii="Arial" w:hAnsi="Arial" w:cs="Arial"/>
        <w:b/>
        <w:bCs/>
        <w:sz w:val="18"/>
        <w:szCs w:val="18"/>
      </w:rPr>
      <w:t xml:space="preserve">Annexe </w:t>
    </w:r>
    <w:r w:rsidR="00CF22C7">
      <w:rPr>
        <w:rFonts w:ascii="Arial" w:hAnsi="Arial" w:cs="Arial"/>
        <w:b/>
        <w:bCs/>
        <w:sz w:val="18"/>
        <w:szCs w:val="18"/>
      </w:rPr>
      <w:t>6</w:t>
    </w:r>
    <w:r>
      <w:rPr>
        <w:rFonts w:ascii="Arial" w:hAnsi="Arial" w:cs="Arial"/>
        <w:b/>
        <w:bCs/>
        <w:sz w:val="18"/>
        <w:szCs w:val="18"/>
      </w:rPr>
      <w:t xml:space="preserve"> </w:t>
    </w:r>
    <w:r>
      <w:rPr>
        <w:rFonts w:ascii="Arial" w:hAnsi="Arial" w:cs="Arial"/>
        <w:b/>
        <w:bCs/>
        <w:sz w:val="18"/>
        <w:szCs w:val="18"/>
      </w:rPr>
      <w:tab/>
      <w:t xml:space="preserve">          </w:t>
    </w:r>
    <w:r>
      <w:rPr>
        <w:rFonts w:ascii="Arial" w:hAnsi="Arial" w:cs="Arial"/>
        <w:sz w:val="18"/>
        <w:szCs w:val="18"/>
      </w:rPr>
      <w:t>(</w:t>
    </w:r>
    <w:r w:rsidR="00AC25FD">
      <w:rPr>
        <w:rFonts w:ascii="Arial" w:hAnsi="Arial" w:cs="Arial"/>
        <w:sz w:val="18"/>
        <w:szCs w:val="18"/>
      </w:rPr>
      <w:t>08 mars</w:t>
    </w:r>
    <w:r>
      <w:rPr>
        <w:rFonts w:ascii="Arial" w:hAnsi="Arial" w:cs="Arial"/>
        <w:sz w:val="18"/>
        <w:szCs w:val="18"/>
      </w:rPr>
      <w:t xml:space="preserve">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D0A80B" w14:textId="77777777" w:rsidR="00612DA1" w:rsidRDefault="00A71C6A">
      <w:r>
        <w:separator/>
      </w:r>
    </w:p>
  </w:footnote>
  <w:footnote w:type="continuationSeparator" w:id="0">
    <w:p w14:paraId="18049B7B" w14:textId="77777777" w:rsidR="00612DA1" w:rsidRDefault="00A71C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C781C" w14:textId="57603C2F" w:rsidR="00BE66A6" w:rsidRDefault="00523EE8" w:rsidP="00523EE8">
    <w:pPr>
      <w:pStyle w:val="En-tte"/>
    </w:pPr>
    <w:r>
      <w:rPr>
        <w:noProof/>
      </w:rPr>
      <w:drawing>
        <wp:inline distT="0" distB="0" distL="0" distR="0" wp14:anchorId="6B929BFC" wp14:editId="72770B41">
          <wp:extent cx="702310" cy="719455"/>
          <wp:effectExtent l="0" t="0" r="2540" b="4445"/>
          <wp:docPr id="4" name="Image 4"/>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a:lum/>
                    <a:alphaModFix/>
                  </a:blip>
                  <a:srcRect/>
                  <a:stretch>
                    <a:fillRect/>
                  </a:stretch>
                </pic:blipFill>
                <pic:spPr>
                  <a:xfrm>
                    <a:off x="0" y="0"/>
                    <a:ext cx="702310" cy="719455"/>
                  </a:xfrm>
                  <a:prstGeom prst="rect">
                    <a:avLst/>
                  </a:prstGeom>
                  <a:noFill/>
                  <a:ln>
                    <a:noFill/>
                    <a:prstDash/>
                  </a:ln>
                </pic:spPr>
              </pic:pic>
            </a:graphicData>
          </a:graphic>
        </wp:inline>
      </w:drawing>
    </w:r>
    <w:r>
      <w:rPr>
        <w:noProof/>
      </w:rPr>
      <w:drawing>
        <wp:anchor distT="0" distB="0" distL="114300" distR="114300" simplePos="0" relativeHeight="251659264" behindDoc="1" locked="0" layoutInCell="1" allowOverlap="1" wp14:anchorId="7B123760" wp14:editId="77037D48">
          <wp:simplePos x="0" y="0"/>
          <wp:positionH relativeFrom="column">
            <wp:posOffset>3354616</wp:posOffset>
          </wp:positionH>
          <wp:positionV relativeFrom="paragraph">
            <wp:posOffset>99389</wp:posOffset>
          </wp:positionV>
          <wp:extent cx="1799590" cy="601980"/>
          <wp:effectExtent l="0" t="0" r="0" b="7620"/>
          <wp:wrapTight wrapText="bothSides">
            <wp:wrapPolygon edited="0">
              <wp:start x="0" y="0"/>
              <wp:lineTo x="0" y="21190"/>
              <wp:lineTo x="21265" y="21190"/>
              <wp:lineTo x="21265" y="0"/>
              <wp:lineTo x="0" y="0"/>
            </wp:wrapPolygon>
          </wp:wrapTight>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799590" cy="60198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0" layoutInCell="1" allowOverlap="1" wp14:anchorId="72A75073" wp14:editId="72BFBB8B">
          <wp:simplePos x="0" y="0"/>
          <wp:positionH relativeFrom="column">
            <wp:posOffset>396899</wp:posOffset>
          </wp:positionH>
          <wp:positionV relativeFrom="paragraph">
            <wp:posOffset>97485</wp:posOffset>
          </wp:positionV>
          <wp:extent cx="2727960" cy="603885"/>
          <wp:effectExtent l="0" t="0" r="0" b="5715"/>
          <wp:wrapTight wrapText="bothSides">
            <wp:wrapPolygon edited="0">
              <wp:start x="0" y="0"/>
              <wp:lineTo x="0" y="21123"/>
              <wp:lineTo x="6939" y="21123"/>
              <wp:lineTo x="20816" y="17035"/>
              <wp:lineTo x="21268" y="12946"/>
              <wp:lineTo x="17648" y="10902"/>
              <wp:lineTo x="17950" y="5451"/>
              <wp:lineTo x="16140" y="3407"/>
              <wp:lineTo x="6939" y="0"/>
              <wp:lineTo x="0" y="0"/>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a:picLocks noChangeAspect="1" noChangeArrowheads="1"/>
                  </pic:cNvPicPr>
                </pic:nvPicPr>
                <pic:blipFill>
                  <a:blip r:embed="rId3">
                    <a:extLst>
                      <a:ext uri="{28A0092B-C50C-407E-A947-70E740481C1C}">
                        <a14:useLocalDpi xmlns:a14="http://schemas.microsoft.com/office/drawing/2010/main" val="0"/>
                      </a:ext>
                    </a:extLst>
                  </a:blip>
                  <a:stretch>
                    <a:fillRect/>
                  </a:stretch>
                </pic:blipFill>
                <pic:spPr bwMode="auto">
                  <a:xfrm>
                    <a:off x="0" y="0"/>
                    <a:ext cx="2727960" cy="603885"/>
                  </a:xfrm>
                  <a:prstGeom prst="rect">
                    <a:avLst/>
                  </a:prstGeom>
                </pic:spPr>
              </pic:pic>
            </a:graphicData>
          </a:graphic>
          <wp14:sizeRelH relativeFrom="page">
            <wp14:pctWidth>0</wp14:pctWidth>
          </wp14:sizeRelH>
          <wp14:sizeRelV relativeFrom="page">
            <wp14:pctHeight>0</wp14:pctHeight>
          </wp14:sizeRelV>
        </wp:anchor>
      </w:drawing>
    </w:r>
    <w:r w:rsidR="00A71C6A">
      <w:rPr>
        <w:rFonts w:ascii="Arial" w:hAnsi="Arial" w:cs="Arial"/>
        <w:sz w:val="24"/>
        <w:szCs w:val="24"/>
      </w:rPr>
      <w:t xml:space="preserve">            </w:t>
    </w:r>
  </w:p>
  <w:p w14:paraId="512895EC" w14:textId="3E0ADDD5" w:rsidR="00BE66A6" w:rsidRDefault="00BE66A6">
    <w:pPr>
      <w:ind w:left="4218" w:hanging="4218"/>
      <w:jc w:val="center"/>
      <w:rPr>
        <w:rFonts w:ascii="Arial" w:hAnsi="Arial" w:cs="Arial"/>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5A59B0"/>
    <w:multiLevelType w:val="multilevel"/>
    <w:tmpl w:val="E37E04DE"/>
    <w:lvl w:ilvl="0">
      <w:start w:val="1"/>
      <w:numFmt w:val="bullet"/>
      <w:lvlText w:val="-"/>
      <w:lvlJc w:val="left"/>
      <w:pPr>
        <w:tabs>
          <w:tab w:val="num" w:pos="0"/>
        </w:tabs>
        <w:ind w:left="1536" w:hanging="360"/>
      </w:pPr>
      <w:rPr>
        <w:rFonts w:ascii="Arial" w:hAnsi="Arial" w:cs="Arial" w:hint="default"/>
      </w:rPr>
    </w:lvl>
    <w:lvl w:ilvl="1">
      <w:start w:val="1"/>
      <w:numFmt w:val="bullet"/>
      <w:lvlText w:val="o"/>
      <w:lvlJc w:val="left"/>
      <w:pPr>
        <w:tabs>
          <w:tab w:val="num" w:pos="0"/>
        </w:tabs>
        <w:ind w:left="2256" w:hanging="360"/>
      </w:pPr>
      <w:rPr>
        <w:rFonts w:ascii="Courier New" w:hAnsi="Courier New" w:cs="Courier New" w:hint="default"/>
      </w:rPr>
    </w:lvl>
    <w:lvl w:ilvl="2">
      <w:start w:val="1"/>
      <w:numFmt w:val="bullet"/>
      <w:lvlText w:val=""/>
      <w:lvlJc w:val="left"/>
      <w:pPr>
        <w:tabs>
          <w:tab w:val="num" w:pos="0"/>
        </w:tabs>
        <w:ind w:left="2976" w:hanging="360"/>
      </w:pPr>
      <w:rPr>
        <w:rFonts w:ascii="Wingdings" w:hAnsi="Wingdings" w:cs="Wingdings" w:hint="default"/>
      </w:rPr>
    </w:lvl>
    <w:lvl w:ilvl="3">
      <w:start w:val="1"/>
      <w:numFmt w:val="bullet"/>
      <w:lvlText w:val=""/>
      <w:lvlJc w:val="left"/>
      <w:pPr>
        <w:tabs>
          <w:tab w:val="num" w:pos="0"/>
        </w:tabs>
        <w:ind w:left="3696" w:hanging="360"/>
      </w:pPr>
      <w:rPr>
        <w:rFonts w:ascii="Symbol" w:hAnsi="Symbol" w:cs="Symbol" w:hint="default"/>
      </w:rPr>
    </w:lvl>
    <w:lvl w:ilvl="4">
      <w:start w:val="1"/>
      <w:numFmt w:val="bullet"/>
      <w:lvlText w:val="o"/>
      <w:lvlJc w:val="left"/>
      <w:pPr>
        <w:tabs>
          <w:tab w:val="num" w:pos="0"/>
        </w:tabs>
        <w:ind w:left="4416" w:hanging="360"/>
      </w:pPr>
      <w:rPr>
        <w:rFonts w:ascii="Courier New" w:hAnsi="Courier New" w:cs="Courier New" w:hint="default"/>
      </w:rPr>
    </w:lvl>
    <w:lvl w:ilvl="5">
      <w:start w:val="1"/>
      <w:numFmt w:val="bullet"/>
      <w:lvlText w:val=""/>
      <w:lvlJc w:val="left"/>
      <w:pPr>
        <w:tabs>
          <w:tab w:val="num" w:pos="0"/>
        </w:tabs>
        <w:ind w:left="5136" w:hanging="360"/>
      </w:pPr>
      <w:rPr>
        <w:rFonts w:ascii="Wingdings" w:hAnsi="Wingdings" w:cs="Wingdings" w:hint="default"/>
      </w:rPr>
    </w:lvl>
    <w:lvl w:ilvl="6">
      <w:start w:val="1"/>
      <w:numFmt w:val="bullet"/>
      <w:lvlText w:val=""/>
      <w:lvlJc w:val="left"/>
      <w:pPr>
        <w:tabs>
          <w:tab w:val="num" w:pos="0"/>
        </w:tabs>
        <w:ind w:left="5856" w:hanging="360"/>
      </w:pPr>
      <w:rPr>
        <w:rFonts w:ascii="Symbol" w:hAnsi="Symbol" w:cs="Symbol" w:hint="default"/>
      </w:rPr>
    </w:lvl>
    <w:lvl w:ilvl="7">
      <w:start w:val="1"/>
      <w:numFmt w:val="bullet"/>
      <w:lvlText w:val="o"/>
      <w:lvlJc w:val="left"/>
      <w:pPr>
        <w:tabs>
          <w:tab w:val="num" w:pos="0"/>
        </w:tabs>
        <w:ind w:left="6576" w:hanging="360"/>
      </w:pPr>
      <w:rPr>
        <w:rFonts w:ascii="Courier New" w:hAnsi="Courier New" w:cs="Courier New" w:hint="default"/>
      </w:rPr>
    </w:lvl>
    <w:lvl w:ilvl="8">
      <w:start w:val="1"/>
      <w:numFmt w:val="bullet"/>
      <w:lvlText w:val=""/>
      <w:lvlJc w:val="left"/>
      <w:pPr>
        <w:tabs>
          <w:tab w:val="num" w:pos="0"/>
        </w:tabs>
        <w:ind w:left="7296" w:hanging="360"/>
      </w:pPr>
      <w:rPr>
        <w:rFonts w:ascii="Wingdings" w:hAnsi="Wingdings" w:cs="Wingdings" w:hint="default"/>
      </w:rPr>
    </w:lvl>
  </w:abstractNum>
  <w:abstractNum w:abstractNumId="1" w15:restartNumberingAfterBreak="0">
    <w:nsid w:val="25DE7D51"/>
    <w:multiLevelType w:val="multilevel"/>
    <w:tmpl w:val="AD345A6C"/>
    <w:lvl w:ilvl="0">
      <w:start w:val="1"/>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32AD43F9"/>
    <w:multiLevelType w:val="hybridMultilevel"/>
    <w:tmpl w:val="6194C0B6"/>
    <w:lvl w:ilvl="0" w:tplc="999A16CE">
      <w:numFmt w:val="bullet"/>
      <w:lvlText w:val="-"/>
      <w:lvlJc w:val="left"/>
      <w:pPr>
        <w:ind w:left="1536" w:hanging="360"/>
      </w:pPr>
      <w:rPr>
        <w:rFonts w:ascii="Arial" w:eastAsia="Calibri" w:hAnsi="Arial" w:cs="Arial" w:hint="default"/>
      </w:rPr>
    </w:lvl>
    <w:lvl w:ilvl="1" w:tplc="040C0003">
      <w:start w:val="1"/>
      <w:numFmt w:val="bullet"/>
      <w:lvlText w:val="o"/>
      <w:lvlJc w:val="left"/>
      <w:pPr>
        <w:ind w:left="2256" w:hanging="360"/>
      </w:pPr>
      <w:rPr>
        <w:rFonts w:ascii="Courier New" w:hAnsi="Courier New" w:cs="Courier New" w:hint="default"/>
      </w:rPr>
    </w:lvl>
    <w:lvl w:ilvl="2" w:tplc="040C0005" w:tentative="1">
      <w:start w:val="1"/>
      <w:numFmt w:val="bullet"/>
      <w:lvlText w:val=""/>
      <w:lvlJc w:val="left"/>
      <w:pPr>
        <w:ind w:left="2976" w:hanging="360"/>
      </w:pPr>
      <w:rPr>
        <w:rFonts w:ascii="Wingdings" w:hAnsi="Wingdings" w:hint="default"/>
      </w:rPr>
    </w:lvl>
    <w:lvl w:ilvl="3" w:tplc="040C0001" w:tentative="1">
      <w:start w:val="1"/>
      <w:numFmt w:val="bullet"/>
      <w:lvlText w:val=""/>
      <w:lvlJc w:val="left"/>
      <w:pPr>
        <w:ind w:left="3696" w:hanging="360"/>
      </w:pPr>
      <w:rPr>
        <w:rFonts w:ascii="Symbol" w:hAnsi="Symbol" w:hint="default"/>
      </w:rPr>
    </w:lvl>
    <w:lvl w:ilvl="4" w:tplc="040C0003" w:tentative="1">
      <w:start w:val="1"/>
      <w:numFmt w:val="bullet"/>
      <w:lvlText w:val="o"/>
      <w:lvlJc w:val="left"/>
      <w:pPr>
        <w:ind w:left="4416" w:hanging="360"/>
      </w:pPr>
      <w:rPr>
        <w:rFonts w:ascii="Courier New" w:hAnsi="Courier New" w:cs="Courier New" w:hint="default"/>
      </w:rPr>
    </w:lvl>
    <w:lvl w:ilvl="5" w:tplc="040C0005" w:tentative="1">
      <w:start w:val="1"/>
      <w:numFmt w:val="bullet"/>
      <w:lvlText w:val=""/>
      <w:lvlJc w:val="left"/>
      <w:pPr>
        <w:ind w:left="5136" w:hanging="360"/>
      </w:pPr>
      <w:rPr>
        <w:rFonts w:ascii="Wingdings" w:hAnsi="Wingdings" w:hint="default"/>
      </w:rPr>
    </w:lvl>
    <w:lvl w:ilvl="6" w:tplc="040C0001" w:tentative="1">
      <w:start w:val="1"/>
      <w:numFmt w:val="bullet"/>
      <w:lvlText w:val=""/>
      <w:lvlJc w:val="left"/>
      <w:pPr>
        <w:ind w:left="5856" w:hanging="360"/>
      </w:pPr>
      <w:rPr>
        <w:rFonts w:ascii="Symbol" w:hAnsi="Symbol" w:hint="default"/>
      </w:rPr>
    </w:lvl>
    <w:lvl w:ilvl="7" w:tplc="040C0003" w:tentative="1">
      <w:start w:val="1"/>
      <w:numFmt w:val="bullet"/>
      <w:lvlText w:val="o"/>
      <w:lvlJc w:val="left"/>
      <w:pPr>
        <w:ind w:left="6576" w:hanging="360"/>
      </w:pPr>
      <w:rPr>
        <w:rFonts w:ascii="Courier New" w:hAnsi="Courier New" w:cs="Courier New" w:hint="default"/>
      </w:rPr>
    </w:lvl>
    <w:lvl w:ilvl="8" w:tplc="040C0005" w:tentative="1">
      <w:start w:val="1"/>
      <w:numFmt w:val="bullet"/>
      <w:lvlText w:val=""/>
      <w:lvlJc w:val="left"/>
      <w:pPr>
        <w:ind w:left="7296" w:hanging="360"/>
      </w:pPr>
      <w:rPr>
        <w:rFonts w:ascii="Wingdings" w:hAnsi="Wingdings" w:hint="default"/>
      </w:rPr>
    </w:lvl>
  </w:abstractNum>
  <w:abstractNum w:abstractNumId="3" w15:restartNumberingAfterBreak="0">
    <w:nsid w:val="3A800878"/>
    <w:multiLevelType w:val="multilevel"/>
    <w:tmpl w:val="316A09AC"/>
    <w:lvl w:ilvl="0">
      <w:start w:val="1"/>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654E4106"/>
    <w:multiLevelType w:val="multilevel"/>
    <w:tmpl w:val="7B04DDD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69885AFB"/>
    <w:multiLevelType w:val="multilevel"/>
    <w:tmpl w:val="26F867BA"/>
    <w:lvl w:ilvl="0">
      <w:start w:val="1"/>
      <w:numFmt w:val="bullet"/>
      <w:lvlText w:val=""/>
      <w:lvlJc w:val="left"/>
      <w:pPr>
        <w:tabs>
          <w:tab w:val="num" w:pos="0"/>
        </w:tabs>
        <w:ind w:left="828" w:hanging="360"/>
      </w:pPr>
      <w:rPr>
        <w:rFonts w:ascii="Symbol" w:hAnsi="Symbol" w:cs="Symbol" w:hint="default"/>
      </w:rPr>
    </w:lvl>
    <w:lvl w:ilvl="1">
      <w:start w:val="1"/>
      <w:numFmt w:val="bullet"/>
      <w:lvlText w:val="o"/>
      <w:lvlJc w:val="left"/>
      <w:pPr>
        <w:tabs>
          <w:tab w:val="num" w:pos="0"/>
        </w:tabs>
        <w:ind w:left="1548" w:hanging="360"/>
      </w:pPr>
      <w:rPr>
        <w:rFonts w:ascii="Courier New" w:hAnsi="Courier New" w:cs="Courier New" w:hint="default"/>
      </w:rPr>
    </w:lvl>
    <w:lvl w:ilvl="2">
      <w:start w:val="1"/>
      <w:numFmt w:val="bullet"/>
      <w:lvlText w:val=""/>
      <w:lvlJc w:val="left"/>
      <w:pPr>
        <w:tabs>
          <w:tab w:val="num" w:pos="0"/>
        </w:tabs>
        <w:ind w:left="2268" w:hanging="360"/>
      </w:pPr>
      <w:rPr>
        <w:rFonts w:ascii="Wingdings" w:hAnsi="Wingdings" w:cs="Wingdings" w:hint="default"/>
      </w:rPr>
    </w:lvl>
    <w:lvl w:ilvl="3">
      <w:start w:val="1"/>
      <w:numFmt w:val="bullet"/>
      <w:lvlText w:val=""/>
      <w:lvlJc w:val="left"/>
      <w:pPr>
        <w:tabs>
          <w:tab w:val="num" w:pos="0"/>
        </w:tabs>
        <w:ind w:left="2988" w:hanging="360"/>
      </w:pPr>
      <w:rPr>
        <w:rFonts w:ascii="Symbol" w:hAnsi="Symbol" w:cs="Symbol" w:hint="default"/>
      </w:rPr>
    </w:lvl>
    <w:lvl w:ilvl="4">
      <w:start w:val="1"/>
      <w:numFmt w:val="bullet"/>
      <w:lvlText w:val="o"/>
      <w:lvlJc w:val="left"/>
      <w:pPr>
        <w:tabs>
          <w:tab w:val="num" w:pos="0"/>
        </w:tabs>
        <w:ind w:left="3708" w:hanging="360"/>
      </w:pPr>
      <w:rPr>
        <w:rFonts w:ascii="Courier New" w:hAnsi="Courier New" w:cs="Courier New" w:hint="default"/>
      </w:rPr>
    </w:lvl>
    <w:lvl w:ilvl="5">
      <w:start w:val="1"/>
      <w:numFmt w:val="bullet"/>
      <w:lvlText w:val=""/>
      <w:lvlJc w:val="left"/>
      <w:pPr>
        <w:tabs>
          <w:tab w:val="num" w:pos="0"/>
        </w:tabs>
        <w:ind w:left="4428" w:hanging="360"/>
      </w:pPr>
      <w:rPr>
        <w:rFonts w:ascii="Wingdings" w:hAnsi="Wingdings" w:cs="Wingdings" w:hint="default"/>
      </w:rPr>
    </w:lvl>
    <w:lvl w:ilvl="6">
      <w:start w:val="1"/>
      <w:numFmt w:val="bullet"/>
      <w:lvlText w:val=""/>
      <w:lvlJc w:val="left"/>
      <w:pPr>
        <w:tabs>
          <w:tab w:val="num" w:pos="0"/>
        </w:tabs>
        <w:ind w:left="5148" w:hanging="360"/>
      </w:pPr>
      <w:rPr>
        <w:rFonts w:ascii="Symbol" w:hAnsi="Symbol" w:cs="Symbol" w:hint="default"/>
      </w:rPr>
    </w:lvl>
    <w:lvl w:ilvl="7">
      <w:start w:val="1"/>
      <w:numFmt w:val="bullet"/>
      <w:lvlText w:val="o"/>
      <w:lvlJc w:val="left"/>
      <w:pPr>
        <w:tabs>
          <w:tab w:val="num" w:pos="0"/>
        </w:tabs>
        <w:ind w:left="5868" w:hanging="360"/>
      </w:pPr>
      <w:rPr>
        <w:rFonts w:ascii="Courier New" w:hAnsi="Courier New" w:cs="Courier New" w:hint="default"/>
      </w:rPr>
    </w:lvl>
    <w:lvl w:ilvl="8">
      <w:start w:val="1"/>
      <w:numFmt w:val="bullet"/>
      <w:lvlText w:val=""/>
      <w:lvlJc w:val="left"/>
      <w:pPr>
        <w:tabs>
          <w:tab w:val="num" w:pos="0"/>
        </w:tabs>
        <w:ind w:left="6588" w:hanging="360"/>
      </w:pPr>
      <w:rPr>
        <w:rFonts w:ascii="Wingdings" w:hAnsi="Wingdings" w:cs="Wingdings" w:hint="default"/>
      </w:rPr>
    </w:lvl>
  </w:abstractNum>
  <w:abstractNum w:abstractNumId="6" w15:restartNumberingAfterBreak="0">
    <w:nsid w:val="74EB2797"/>
    <w:multiLevelType w:val="hybridMultilevel"/>
    <w:tmpl w:val="FDDC97D8"/>
    <w:lvl w:ilvl="0" w:tplc="4E02FB10">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16cid:durableId="2029214383">
    <w:abstractNumId w:val="0"/>
  </w:num>
  <w:num w:numId="2" w16cid:durableId="1036467060">
    <w:abstractNumId w:val="5"/>
  </w:num>
  <w:num w:numId="3" w16cid:durableId="1459953586">
    <w:abstractNumId w:val="3"/>
  </w:num>
  <w:num w:numId="4" w16cid:durableId="277883060">
    <w:abstractNumId w:val="1"/>
  </w:num>
  <w:num w:numId="5" w16cid:durableId="408163169">
    <w:abstractNumId w:val="4"/>
  </w:num>
  <w:num w:numId="6" w16cid:durableId="1779594141">
    <w:abstractNumId w:val="6"/>
  </w:num>
  <w:num w:numId="7" w16cid:durableId="3901531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autoHyphenation/>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66A6"/>
    <w:rsid w:val="000121F4"/>
    <w:rsid w:val="00043D68"/>
    <w:rsid w:val="003D6997"/>
    <w:rsid w:val="00414B3E"/>
    <w:rsid w:val="00523EE8"/>
    <w:rsid w:val="00573F2D"/>
    <w:rsid w:val="00612DA1"/>
    <w:rsid w:val="00916D19"/>
    <w:rsid w:val="00A71C6A"/>
    <w:rsid w:val="00AC25FD"/>
    <w:rsid w:val="00BE66A6"/>
    <w:rsid w:val="00CF22C7"/>
    <w:rsid w:val="00D76713"/>
    <w:rsid w:val="00E17126"/>
    <w:rsid w:val="00FD6AC1"/>
    <w:rsid w:val="00FE1EA1"/>
    <w:rsid w:val="00FF6BE5"/>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DE77C89"/>
  <w15:docId w15:val="{54320B50-2F7B-418A-821E-A08C924E07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ahoma"/>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cs="Calibri"/>
      <w:lang w:val="fr-FR"/>
    </w:rPr>
  </w:style>
  <w:style w:type="paragraph" w:styleId="Titre1">
    <w:name w:val="heading 1"/>
    <w:basedOn w:val="Normal"/>
    <w:uiPriority w:val="9"/>
    <w:qFormat/>
    <w:pPr>
      <w:spacing w:before="17"/>
      <w:ind w:left="1176"/>
      <w:outlineLvl w:val="0"/>
    </w:pPr>
    <w:rPr>
      <w:rFonts w:ascii="Calibri Light" w:eastAsia="Calibri Light" w:hAnsi="Calibri Light" w:cs="Calibri Light"/>
      <w:sz w:val="28"/>
      <w:szCs w:val="28"/>
      <w:u w:val="single" w:color="000000"/>
    </w:rPr>
  </w:style>
  <w:style w:type="paragraph" w:styleId="Titre2">
    <w:name w:val="heading 2"/>
    <w:basedOn w:val="Normal"/>
    <w:uiPriority w:val="9"/>
    <w:semiHidden/>
    <w:unhideWhenUsed/>
    <w:qFormat/>
    <w:pPr>
      <w:ind w:left="1176"/>
      <w:outlineLvl w:val="1"/>
    </w:pPr>
    <w:rPr>
      <w:rFonts w:ascii="Calibri Light" w:eastAsia="Calibri Light" w:hAnsi="Calibri Light" w:cs="Calibri Light"/>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En-tteCar">
    <w:name w:val="En-tête Car"/>
    <w:basedOn w:val="Policepardfaut"/>
    <w:link w:val="En-tte"/>
    <w:qFormat/>
    <w:rPr>
      <w:rFonts w:ascii="Calibri" w:eastAsia="Calibri" w:hAnsi="Calibri" w:cs="Calibri"/>
      <w:lang w:val="fr-FR"/>
    </w:rPr>
  </w:style>
  <w:style w:type="character" w:customStyle="1" w:styleId="PieddepageCar">
    <w:name w:val="Pied de page Car"/>
    <w:basedOn w:val="Policepardfaut"/>
    <w:link w:val="Pieddepage"/>
    <w:qFormat/>
    <w:rPr>
      <w:rFonts w:ascii="Calibri" w:eastAsia="Calibri" w:hAnsi="Calibri" w:cs="Calibri"/>
      <w:lang w:val="fr-FR"/>
    </w:rPr>
  </w:style>
  <w:style w:type="character" w:styleId="Marquedecommentaire">
    <w:name w:val="annotation reference"/>
    <w:basedOn w:val="Policepardfaut"/>
    <w:uiPriority w:val="99"/>
    <w:qFormat/>
    <w:rPr>
      <w:sz w:val="16"/>
      <w:szCs w:val="16"/>
    </w:rPr>
  </w:style>
  <w:style w:type="character" w:customStyle="1" w:styleId="CommentaireCar">
    <w:name w:val="Commentaire Car"/>
    <w:basedOn w:val="Policepardfaut"/>
    <w:link w:val="Commentaire"/>
    <w:uiPriority w:val="99"/>
    <w:qFormat/>
    <w:rPr>
      <w:rFonts w:ascii="Calibri" w:eastAsia="Calibri" w:hAnsi="Calibri" w:cs="Calibri"/>
      <w:sz w:val="20"/>
      <w:szCs w:val="20"/>
      <w:lang w:val="fr-FR"/>
    </w:rPr>
  </w:style>
  <w:style w:type="character" w:customStyle="1" w:styleId="ObjetducommentaireCar">
    <w:name w:val="Objet du commentaire Car"/>
    <w:basedOn w:val="CommentaireCar"/>
    <w:link w:val="Objetducommentaire"/>
    <w:qFormat/>
    <w:rPr>
      <w:rFonts w:ascii="Calibri" w:eastAsia="Calibri" w:hAnsi="Calibri" w:cs="Calibri"/>
      <w:b/>
      <w:bCs/>
      <w:sz w:val="20"/>
      <w:szCs w:val="20"/>
      <w:lang w:val="fr-FR"/>
    </w:rPr>
  </w:style>
  <w:style w:type="character" w:styleId="Mentionnonrsolue">
    <w:name w:val="Unresolved Mention"/>
    <w:basedOn w:val="Policepardfaut"/>
    <w:qFormat/>
    <w:rPr>
      <w:color w:val="605E5C"/>
      <w:shd w:val="clear" w:color="auto" w:fill="E1DFDD"/>
    </w:rPr>
  </w:style>
  <w:style w:type="character" w:styleId="Mention">
    <w:name w:val="Mention"/>
    <w:basedOn w:val="Policepardfaut"/>
    <w:qFormat/>
    <w:rPr>
      <w:color w:val="2B579A"/>
      <w:shd w:val="clear" w:color="auto" w:fill="E1DFDD"/>
    </w:rPr>
  </w:style>
  <w:style w:type="character" w:customStyle="1" w:styleId="LienInternet">
    <w:name w:val="Lien Internet"/>
    <w:basedOn w:val="Policepardfaut"/>
    <w:rPr>
      <w:color w:val="0000FF"/>
      <w:u w:val="single"/>
    </w:rPr>
  </w:style>
  <w:style w:type="character" w:customStyle="1" w:styleId="cf01">
    <w:name w:val="cf01"/>
    <w:basedOn w:val="Policepardfaut"/>
    <w:qFormat/>
    <w:rPr>
      <w:rFonts w:ascii="Segoe UI" w:hAnsi="Segoe UI" w:cs="Segoe UI"/>
      <w:sz w:val="18"/>
      <w:szCs w:val="18"/>
    </w:rPr>
  </w:style>
  <w:style w:type="character" w:customStyle="1" w:styleId="Numrotationdelignes">
    <w:name w:val="Numérotation de lignes"/>
  </w:style>
  <w:style w:type="paragraph" w:styleId="Titre">
    <w:name w:val="Title"/>
    <w:basedOn w:val="Normal"/>
    <w:next w:val="Corpsdetexte"/>
    <w:uiPriority w:val="10"/>
    <w:qFormat/>
    <w:pPr>
      <w:spacing w:before="111"/>
      <w:ind w:left="2630" w:right="2196"/>
    </w:pPr>
    <w:rPr>
      <w:sz w:val="72"/>
      <w:szCs w:val="72"/>
    </w:rPr>
  </w:style>
  <w:style w:type="paragraph" w:styleId="Corpsdetexte">
    <w:name w:val="Body Text"/>
    <w:basedOn w:val="Normal"/>
  </w:style>
  <w:style w:type="paragraph" w:styleId="Liste">
    <w:name w:val="List"/>
    <w:basedOn w:val="Corpsdetexte"/>
    <w:rPr>
      <w:rFonts w:ascii="Liberation Sans" w:hAnsi="Liberation Sans" w:cs="Lucida Sans"/>
    </w:rPr>
  </w:style>
  <w:style w:type="paragraph" w:styleId="Lgende">
    <w:name w:val="caption"/>
    <w:basedOn w:val="Normal"/>
    <w:qFormat/>
    <w:pPr>
      <w:suppressLineNumbers/>
      <w:spacing w:before="120" w:after="120"/>
    </w:pPr>
    <w:rPr>
      <w:rFonts w:ascii="Liberation Sans" w:hAnsi="Liberation Sans" w:cs="Lucida Sans"/>
      <w:i/>
      <w:iCs/>
      <w:sz w:val="24"/>
      <w:szCs w:val="24"/>
    </w:rPr>
  </w:style>
  <w:style w:type="paragraph" w:customStyle="1" w:styleId="Index">
    <w:name w:val="Index"/>
    <w:basedOn w:val="Normal"/>
    <w:qFormat/>
    <w:pPr>
      <w:suppressLineNumbers/>
    </w:pPr>
    <w:rPr>
      <w:rFonts w:ascii="Liberation Sans" w:hAnsi="Liberation Sans" w:cs="Lucida Sans"/>
    </w:rPr>
  </w:style>
  <w:style w:type="paragraph" w:styleId="TM1">
    <w:name w:val="toc 1"/>
    <w:basedOn w:val="Normal"/>
    <w:pPr>
      <w:spacing w:before="101"/>
      <w:ind w:left="1176"/>
    </w:pPr>
  </w:style>
  <w:style w:type="paragraph" w:styleId="TM2">
    <w:name w:val="toc 2"/>
    <w:basedOn w:val="Normal"/>
    <w:pPr>
      <w:spacing w:before="99"/>
      <w:ind w:left="1397"/>
    </w:pPr>
  </w:style>
  <w:style w:type="paragraph" w:styleId="TM3">
    <w:name w:val="toc 3"/>
    <w:basedOn w:val="Normal"/>
    <w:pPr>
      <w:spacing w:before="98"/>
      <w:ind w:left="1615"/>
    </w:pPr>
  </w:style>
  <w:style w:type="paragraph" w:styleId="Paragraphedeliste">
    <w:name w:val="List Paragraph"/>
    <w:basedOn w:val="Normal"/>
    <w:uiPriority w:val="34"/>
    <w:qFormat/>
  </w:style>
  <w:style w:type="paragraph" w:customStyle="1" w:styleId="TableParagraph">
    <w:name w:val="Table Paragraph"/>
    <w:basedOn w:val="Normal"/>
    <w:qFormat/>
  </w:style>
  <w:style w:type="paragraph" w:customStyle="1" w:styleId="En-tteetpieddepage">
    <w:name w:val="En-tête et pied de page"/>
    <w:basedOn w:val="Normal"/>
    <w:qFormat/>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Commentaire">
    <w:name w:val="annotation text"/>
    <w:basedOn w:val="Normal"/>
    <w:link w:val="CommentaireCar"/>
    <w:uiPriority w:val="99"/>
    <w:qFormat/>
    <w:rPr>
      <w:sz w:val="20"/>
      <w:szCs w:val="20"/>
    </w:rPr>
  </w:style>
  <w:style w:type="paragraph" w:styleId="Objetducommentaire">
    <w:name w:val="annotation subject"/>
    <w:basedOn w:val="Commentaire"/>
    <w:next w:val="Commentaire"/>
    <w:link w:val="ObjetducommentaireCar"/>
    <w:qFormat/>
    <w:rPr>
      <w:b/>
      <w:bCs/>
    </w:rPr>
  </w:style>
  <w:style w:type="paragraph" w:styleId="Rvision">
    <w:name w:val="Revision"/>
    <w:qFormat/>
    <w:rPr>
      <w:rFonts w:cs="Calibri"/>
      <w:lang w:val="fr-FR"/>
    </w:rPr>
  </w:style>
  <w:style w:type="paragraph" w:customStyle="1" w:styleId="pf0">
    <w:name w:val="pf0"/>
    <w:basedOn w:val="Normal"/>
    <w:qFormat/>
    <w:pPr>
      <w:widowControl/>
      <w:spacing w:before="280" w:after="280"/>
    </w:pPr>
    <w:rPr>
      <w:rFonts w:ascii="Times New Roman" w:eastAsia="Times New Roman" w:hAnsi="Times New Roman" w:cs="Times New Roman"/>
      <w:sz w:val="24"/>
      <w:szCs w:val="24"/>
      <w:lang w:eastAsia="fr-FR"/>
    </w:rPr>
  </w:style>
  <w:style w:type="paragraph" w:customStyle="1" w:styleId="Contenudetableau">
    <w:name w:val="Contenu de tableau"/>
    <w:basedOn w:val="Normal"/>
    <w:qFormat/>
    <w:pPr>
      <w:suppressLineNumbers/>
    </w:pPr>
  </w:style>
  <w:style w:type="character" w:styleId="Lienhypertexte">
    <w:name w:val="Hyperlink"/>
    <w:basedOn w:val="Policepardfaut"/>
    <w:uiPriority w:val="99"/>
    <w:unhideWhenUsed/>
    <w:rsid w:val="00043D6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535942">
      <w:bodyDiv w:val="1"/>
      <w:marLeft w:val="0"/>
      <w:marRight w:val="0"/>
      <w:marTop w:val="0"/>
      <w:marBottom w:val="0"/>
      <w:divBdr>
        <w:top w:val="none" w:sz="0" w:space="0" w:color="auto"/>
        <w:left w:val="none" w:sz="0" w:space="0" w:color="auto"/>
        <w:bottom w:val="none" w:sz="0" w:space="0" w:color="auto"/>
        <w:right w:val="none" w:sz="0" w:space="0" w:color="auto"/>
      </w:divBdr>
    </w:div>
    <w:div w:id="1429499655">
      <w:bodyDiv w:val="1"/>
      <w:marLeft w:val="0"/>
      <w:marRight w:val="0"/>
      <w:marTop w:val="0"/>
      <w:marBottom w:val="0"/>
      <w:divBdr>
        <w:top w:val="none" w:sz="0" w:space="0" w:color="auto"/>
        <w:left w:val="none" w:sz="0" w:space="0" w:color="auto"/>
        <w:bottom w:val="none" w:sz="0" w:space="0" w:color="auto"/>
        <w:right w:val="none" w:sz="0" w:space="0" w:color="auto"/>
      </w:divBdr>
    </w:div>
    <w:div w:id="16041935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synergie-europe.fr/e_synergie/portail/id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2481</TotalTime>
  <Pages>5</Pages>
  <Words>1497</Words>
  <Characters>8235</Characters>
  <Application>Microsoft Office Word</Application>
  <DocSecurity>0</DocSecurity>
  <Lines>68</Lines>
  <Paragraphs>19</Paragraphs>
  <ScaleCrop>false</ScaleCrop>
  <Company/>
  <LinksUpToDate>false</LinksUpToDate>
  <CharactersWithSpaces>9713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 INDICATEURS A L’ATTENTION DES TERRITOIRES ITI PROGRAMMATION2021-2027</dc:title>
  <dc:subject>Région Île-de-France</dc:subject>
  <dc:creator>Direction des stratégies européennes</dc:creator>
  <dc:description/>
  <cp:lastModifiedBy>MATANI Lucrezia</cp:lastModifiedBy>
  <cp:revision>178</cp:revision>
  <dcterms:created xsi:type="dcterms:W3CDTF">2023-08-28T18:38:00Z</dcterms:created>
  <dcterms:modified xsi:type="dcterms:W3CDTF">2024-03-11T14:39:00Z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0x010100602CB7739D3BCC4BB0A1489643C0EF9B</vt:lpwstr>
  </property>
  <property fmtid="{D5CDD505-2E9C-101B-9397-08002B2CF9AE}" pid="3" name="Created">
    <vt:filetime>2022-12-15T00:00:00Z</vt:filetime>
  </property>
  <property fmtid="{D5CDD505-2E9C-101B-9397-08002B2CF9AE}" pid="4" name="Creator">
    <vt:lpwstr>Microsoft® Word pour Microsoft 365</vt:lpwstr>
  </property>
  <property fmtid="{D5CDD505-2E9C-101B-9397-08002B2CF9AE}" pid="5" name="LastSaved">
    <vt:filetime>2023-01-26T00:00:00Z</vt:filetime>
  </property>
  <property fmtid="{D5CDD505-2E9C-101B-9397-08002B2CF9AE}" pid="6" name="MediaServiceImageTags">
    <vt:lpwstr/>
  </property>
</Properties>
</file>