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000000" w:val="clear"/>
        <w:jc w:val="center"/>
        <w:rPr>
          <w:rFonts w:ascii="Helvetica Neue" w:cs="Helvetica Neue" w:eastAsia="Helvetica Neue" w:hAnsi="Helvetica Neue"/>
          <w:b w:val="1"/>
          <w:color w:val="ffffff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ffff"/>
          <w:sz w:val="23"/>
          <w:szCs w:val="23"/>
          <w:rtl w:val="0"/>
        </w:rPr>
        <w:t xml:space="preserve">Les codes barres</w:t>
      </w:r>
    </w:p>
    <w:p w:rsidR="00000000" w:rsidDel="00000000" w:rsidP="00000000" w:rsidRDefault="00000000" w:rsidRPr="00000000" w14:paraId="00000002">
      <w:pPr>
        <w:shd w:fill="eff3f9" w:val="clear"/>
        <w:spacing w:after="280" w:before="280" w:lineRule="auto"/>
        <w:rPr>
          <w:rFonts w:ascii="Helvetica Neue" w:cs="Helvetica Neue" w:eastAsia="Helvetica Neue" w:hAnsi="Helvetica Neue"/>
          <w:b w:val="1"/>
          <w:color w:val="000000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0"/>
          <w:szCs w:val="30"/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shd w:fill="eff3f9" w:val="clear"/>
        <w:spacing w:after="280" w:before="280" w:lineRule="auto"/>
        <w:jc w:val="both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Omniprésents, les codes barres sont des acteurs discrets de la vie courante. Destinés à automatiser l'acquisition d'une information généralement numérique, ils trouvent leurs applications dans des domaines aussi variés que la gestion des prêts d'une bibliothèque, les caisses enregistreuses à lecture optique, ou le contrôle de la production dans l'industrie...</w:t>
      </w:r>
    </w:p>
    <w:p w:rsidR="00000000" w:rsidDel="00000000" w:rsidP="00000000" w:rsidRDefault="00000000" w:rsidRPr="00000000" w14:paraId="00000004">
      <w:pPr>
        <w:shd w:fill="eff3f9" w:val="clear"/>
        <w:spacing w:after="280" w:before="280" w:lineRule="auto"/>
        <w:rPr>
          <w:rFonts w:ascii="Helvetica Neue" w:cs="Helvetica Neue" w:eastAsia="Helvetica Neue" w:hAnsi="Helvetica Neue"/>
          <w:b w:val="1"/>
          <w:color w:val="000000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0"/>
          <w:szCs w:val="30"/>
          <w:rtl w:val="0"/>
        </w:rPr>
        <w:t xml:space="preserve">Normalisation EAN</w:t>
      </w:r>
    </w:p>
    <w:p w:rsidR="00000000" w:rsidDel="00000000" w:rsidP="00000000" w:rsidRDefault="00000000" w:rsidRPr="00000000" w14:paraId="00000005">
      <w:pPr>
        <w:shd w:fill="eff3f9" w:val="clear"/>
        <w:spacing w:after="280" w:before="280" w:lineRule="auto"/>
        <w:jc w:val="both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L'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cd"/>
            <w:sz w:val="18"/>
            <w:szCs w:val="18"/>
            <w:rtl w:val="0"/>
          </w:rPr>
          <w:t xml:space="preserve">EAN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 ou 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0000cd"/>
            <w:sz w:val="18"/>
            <w:szCs w:val="18"/>
            <w:rtl w:val="0"/>
          </w:rPr>
          <w:t xml:space="preserve">European Article Number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 est une norme garantissant que le code barres d'un article sera reconnu dans tous les pays de 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0000cd"/>
            <w:sz w:val="18"/>
            <w:szCs w:val="18"/>
            <w:rtl w:val="0"/>
          </w:rPr>
          <w:t xml:space="preserve">l'Union Européenne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. Le mot codé est constitué de 8 ou 13 caractères répartis entre trois zones. En lisant de la gauche vers la droite, on trouve 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eff3f9" w:val="clear"/>
        <w:spacing w:after="0" w:before="280" w:lineRule="auto"/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le « drapeau » codant sur deux caractères l'origine du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eff3f9" w:val="clear"/>
        <w:spacing w:after="0" w:before="0" w:lineRule="auto"/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la « zone utile de codage » qui comprend 10 caractères dont les 4 premiers représentent le fabricant et les 6 derniers l'article (cas d'un code sur 13 chiffres). Dans le cas de cette zone, le codage dépend de la zone d'origine.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eff3f9" w:val="clear"/>
        <w:spacing w:after="280" w:before="0" w:lineRule="auto"/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le dernier caractère est le « code de contrôle  » déterminant la validité du code. Il est calculé à l'aide d'un algorithme normalisé.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eff3f9" w:val="clear"/>
        <w:spacing w:after="280" w:before="280" w:lineRule="auto"/>
        <w:rPr>
          <w:rFonts w:ascii="Helvetica Neue" w:cs="Helvetica Neue" w:eastAsia="Helvetica Neue" w:hAnsi="Helvetica Neue"/>
          <w:b w:val="1"/>
          <w:color w:val="000000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0"/>
          <w:szCs w:val="30"/>
          <w:rtl w:val="0"/>
        </w:rPr>
        <w:t xml:space="preserve">Les codes pays</w:t>
      </w:r>
    </w:p>
    <w:p w:rsidR="00000000" w:rsidDel="00000000" w:rsidP="00000000" w:rsidRDefault="00000000" w:rsidRPr="00000000" w14:paraId="0000000A">
      <w:pPr>
        <w:shd w:fill="eff3f9" w:val="clear"/>
        <w:spacing w:after="280" w:before="280" w:lineRule="auto"/>
        <w:jc w:val="both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Le code pays dans la normalisation EAN est composé de 2 à 3 chiffres suivants les pays. Contrairement à une idée répandue, ce code ne correspond pas au lieu de fabrication du du produit, mais au pays dans lequel l'entreprise est membre du système EAN.</w:t>
      </w:r>
    </w:p>
    <w:p w:rsidR="00000000" w:rsidDel="00000000" w:rsidP="00000000" w:rsidRDefault="00000000" w:rsidRPr="00000000" w14:paraId="0000000B">
      <w:pPr>
        <w:spacing w:before="120" w:lineRule="auto"/>
        <w:jc w:val="center"/>
        <w:rPr>
          <w:rFonts w:ascii="Times" w:cs="Times" w:eastAsia="Times" w:hAnsi="Times"/>
          <w:b w:val="1"/>
          <w:sz w:val="20"/>
          <w:szCs w:val="20"/>
        </w:rPr>
        <w:sectPr>
          <w:pgSz w:h="16840" w:w="11900"/>
          <w:pgMar w:bottom="851" w:top="851" w:left="851" w:right="851" w:header="708" w:footer="708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0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004"/>
        <w:gridCol w:w="2132"/>
        <w:gridCol w:w="1670"/>
        <w:tblGridChange w:id="0">
          <w:tblGrid>
            <w:gridCol w:w="1004"/>
            <w:gridCol w:w="2132"/>
            <w:gridCol w:w="167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Code pays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Pays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Code ISO du pays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00 à 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USA &amp; Canada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us &amp; ca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20 à 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Usage privé uniquement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30 à 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fr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Bulgarie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bg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383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Slovénie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385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Croatie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hr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387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Bosnie Herzegovine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400 à 440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Allemagne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de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45 &amp; 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Japon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jp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460 à 469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Fédération de Russie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ru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Taiwan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tw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Estonie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Lettonie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lv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Azerbaijan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az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Lithuanie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Ouzbekistan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uz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Sri Lanka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Philippines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ph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Belarus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Ukraine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ua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Moldavie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Arménie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am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Georgie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ge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Kazakhstan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kz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489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Hong-Kong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hk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Royaume-Uni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uk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Grèce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gr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Liban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lb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Chipre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Macédoine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Malte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Irlande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Belgique &amp; Luxembourg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be &amp; lu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Portugal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Islande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Danemark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dk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Pologne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pl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Roumanie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ro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599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Hongrie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Ile Maurice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Maroc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Algérie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Kenya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ke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Tunisie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Syrie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Égypte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eg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Lybie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Jordanie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jo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Iran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Koweit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kw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Arabie Saoudite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Émirats Arabes Unis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Finland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fi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690 à 693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Chine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Norvège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Israël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il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Suède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Guatemala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gt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Salvador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sv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Honduras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hn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Nicaragua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ni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Costa Rica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Panama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République Dominicaine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do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Mexique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mx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Venezuela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ve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Suisse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ch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Colombie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co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Uruguay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uy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Pérou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Bolivie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bo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Argentine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Chili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cl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Paraguay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Équateur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789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br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80 à 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Cuba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Slovaquie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République Tchèque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cz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Yougoslavie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yu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Corée du Nord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kp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Turquie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Pays-Bas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nl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Corée du Sud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kr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Thailande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th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Singapour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sg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Inde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Vietnam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vn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899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Indonésie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90 et 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Autriche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Australie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au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Nouvelle-Zélande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nz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955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before="12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Malaysie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before="120" w:lineRule="auto"/>
              <w:jc w:val="center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my</w:t>
            </w:r>
          </w:p>
        </w:tc>
      </w:tr>
    </w:tbl>
    <w:p w:rsidR="00000000" w:rsidDel="00000000" w:rsidP="00000000" w:rsidRDefault="00000000" w:rsidRPr="00000000" w14:paraId="0000012D">
      <w:pPr>
        <w:spacing w:before="120" w:lineRule="auto"/>
        <w:rPr>
          <w:rFonts w:ascii="Times" w:cs="Times" w:eastAsia="Times" w:hAnsi="Times"/>
          <w:sz w:val="20"/>
          <w:szCs w:val="20"/>
        </w:rPr>
        <w:sectPr>
          <w:type w:val="continuous"/>
          <w:pgSz w:h="16840" w:w="11900"/>
          <w:pgMar w:bottom="851" w:top="851" w:left="851" w:right="851" w:header="708" w:footer="708"/>
          <w:cols w:equalWidth="0" w:num="2">
            <w:col w:space="708" w:w="4745.000000000001"/>
            <w:col w:space="0" w:w="4745.000000000001"/>
          </w:cols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Ressource complémentaire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: “Rôle de certains additifs alimentaires dans l’apparition d’une inflammation intestinale et du syndrome métabolique chez la souris” </w:t>
      </w:r>
      <w:hyperlink r:id="rId10">
        <w:r w:rsidDel="00000000" w:rsidR="00000000" w:rsidRPr="00000000">
          <w:rPr>
            <w:rFonts w:ascii="Times" w:cs="Times" w:eastAsia="Times" w:hAnsi="Times"/>
            <w:color w:val="1155cc"/>
            <w:sz w:val="20"/>
            <w:szCs w:val="20"/>
            <w:u w:val="single"/>
            <w:rtl w:val="0"/>
          </w:rPr>
          <w:t xml:space="preserve">https://www.medecinesciences.org/en/articles/medsci/full_html/2015/07/medsci2015316-7p586/medsci2015316-7p586.html</w:t>
        </w:r>
      </w:hyperlink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6840" w:w="11900"/>
      <w:pgMar w:bottom="851" w:top="851" w:left="851" w:right="851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medecinesciences.org/en/articles/medsci/full_html/2015/07/medsci2015316-7p586/medsci2015316-7p586.html" TargetMode="External"/><Relationship Id="rId9" Type="http://schemas.openxmlformats.org/officeDocument/2006/relationships/hyperlink" Target="http://europa.eu.in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an-int.org/" TargetMode="External"/><Relationship Id="rId8" Type="http://schemas.openxmlformats.org/officeDocument/2006/relationships/hyperlink" Target="http://www.ean-int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333uarAGDi2CEe6rLEeywv3fTQ==">AMUW2mWpNMqG8wpLQImyVtLcaJz7UNomwPxDEVS2tbSFvysC5A+HM5lXaokz2ZNKc3Uip0QZxGJ4eReNwQeieQ4/Sfay4elmBaC+a6/nEKb1aSm/VCAtwVJUY+6qNArIEWtR5a6EpmaS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