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48"/>
          <w:szCs w:val="48"/>
          <w:u w:val="single"/>
        </w:rPr>
      </w:pP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Amélioration de la cantine </w:t>
      </w:r>
    </w:p>
    <w:p w:rsidR="00000000" w:rsidDel="00000000" w:rsidP="00000000" w:rsidRDefault="00000000" w:rsidRPr="00000000" w14:paraId="00000002">
      <w:pPr>
        <w:ind w:left="425.19685039370086" w:firstLine="0"/>
        <w:jc w:val="center"/>
        <w:rPr>
          <w:i w:val="1"/>
          <w:sz w:val="48"/>
          <w:szCs w:val="48"/>
          <w:u w:val="single"/>
        </w:rPr>
      </w:pPr>
      <w:r w:rsidDel="00000000" w:rsidR="00000000" w:rsidRPr="00000000">
        <w:rPr>
          <w:i w:val="1"/>
          <w:sz w:val="48"/>
          <w:szCs w:val="48"/>
          <w:u w:val="single"/>
          <w:rtl w:val="0"/>
        </w:rPr>
        <w:t xml:space="preserve">Limiter du gâchis</w:t>
      </w:r>
    </w:p>
    <w:p w:rsidR="00000000" w:rsidDel="00000000" w:rsidP="00000000" w:rsidRDefault="00000000" w:rsidRPr="00000000" w14:paraId="00000003">
      <w:pPr>
        <w:ind w:left="425.19685039370086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distribution de la nourriture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6300"/>
        <w:tblGridChange w:id="0">
          <w:tblGrid>
            <w:gridCol w:w="4455"/>
            <w:gridCol w:w="6300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i w:val="1"/>
                <w:color w:val="cc0000"/>
              </w:rPr>
            </w:pPr>
            <w:r w:rsidDel="00000000" w:rsidR="00000000" w:rsidRPr="00000000">
              <w:rPr>
                <w:b w:val="1"/>
                <w:i w:val="1"/>
                <w:color w:val="cc0000"/>
                <w:rtl w:val="0"/>
              </w:rPr>
              <w:t xml:space="preserve">Problèmes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  <w:i w:val="1"/>
                <w:color w:val="38761d"/>
              </w:rPr>
            </w:pPr>
            <w:r w:rsidDel="00000000" w:rsidR="00000000" w:rsidRPr="00000000">
              <w:rPr>
                <w:b w:val="1"/>
                <w:i w:val="1"/>
                <w:color w:val="38761d"/>
                <w:rtl w:val="0"/>
              </w:rPr>
              <w:t xml:space="preserve">Solutions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 gâchis est plus élevé chez les classes des plus petits.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 portions plus adaptées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Effectuer des campagnes de sensibilisation (par exemple “Remplir son assiette c’est chouette, si c’est pour la poubelle, c’est bête”)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Allez rencontrer les petits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Insatisfaction des élèves au niveau du goût de la nourriture.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Créer un livret de communication entre élèves &gt; cantine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Créer des sondages de satisfaction précis ( déjà en action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5.196850393700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Le tri du gachis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6165"/>
        <w:tblGridChange w:id="0">
          <w:tblGrid>
            <w:gridCol w:w="4575"/>
            <w:gridCol w:w="616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color w:val="cc0000"/>
              </w:rPr>
            </w:pPr>
            <w:r w:rsidDel="00000000" w:rsidR="00000000" w:rsidRPr="00000000">
              <w:rPr>
                <w:b w:val="1"/>
                <w:i w:val="1"/>
                <w:color w:val="cc0000"/>
                <w:rtl w:val="0"/>
              </w:rPr>
              <w:t xml:space="preserve">Problèmes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color w:val="38761d"/>
              </w:rPr>
            </w:pPr>
            <w:r w:rsidDel="00000000" w:rsidR="00000000" w:rsidRPr="00000000">
              <w:rPr>
                <w:b w:val="1"/>
                <w:i w:val="1"/>
                <w:color w:val="38761d"/>
                <w:rtl w:val="0"/>
              </w:rPr>
              <w:t xml:space="preserve">Solutions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 inexistant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Restructuration du tri: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Installer des poubelles “ludiques” là où sont posés les plateaux (plastique, déchets alimentaires, pain non-souillé, couverts…)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 à améliorer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Campagnes de sensibilisation (pour montrer aux élèves la quantité de gâchis qu’ils créent)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Posters et indications explicatifs sur le nouveau fonctionnement (marquages au sol pour contrôler l’allure de la file)</w:t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343650" cy="205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5627" l="5686" r="11989" t="1330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