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47" w:rsidRDefault="00031AAF">
      <w:r>
        <w:t>Schéma théorique sur le speed reading en EMC et géographie</w:t>
      </w:r>
    </w:p>
    <w:p w:rsidR="00031AAF" w:rsidRDefault="00031AAF"/>
    <w:p w:rsidR="00031AAF" w:rsidRDefault="00031AAF">
      <w:r>
        <w:t xml:space="preserve">Objectifs et intérêt pédagogique : </w:t>
      </w:r>
    </w:p>
    <w:p w:rsidR="00031AAF" w:rsidRDefault="00031AAF">
      <w:r>
        <w:t>Permettre aux élèves de prendre connaissances des objectifs et enjeux concernant les acteurs qu’ils incarneront dans un débat ou jeu de rôle.</w:t>
      </w:r>
    </w:p>
    <w:p w:rsidR="00031AAF" w:rsidRDefault="00031AAF">
      <w:r>
        <w:t>Extraire informations documents, contextualiser/ situer un acteur, débat, capacité de synthèse, développer lecture rapide et travailler en vue de développer capacités de recherches, travail en groupe dissocié</w:t>
      </w:r>
    </w:p>
    <w:p w:rsidR="006757A8" w:rsidRDefault="006757A8"/>
    <w:p w:rsidR="006757A8" w:rsidRDefault="006757A8">
      <w:r>
        <w:t>Stimulation des élèves par compétition par équipe et pour être à la hauteur de leur prédécesseur dans constitution des arguments de leur équipe.</w:t>
      </w:r>
    </w:p>
    <w:p w:rsidR="00031AAF" w:rsidRDefault="00031A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1"/>
        <w:gridCol w:w="1922"/>
        <w:gridCol w:w="1923"/>
        <w:gridCol w:w="1926"/>
        <w:gridCol w:w="1936"/>
      </w:tblGrid>
      <w:tr w:rsidR="00031AAF" w:rsidTr="00031AAF">
        <w:tc>
          <w:tcPr>
            <w:tcW w:w="1955" w:type="dxa"/>
          </w:tcPr>
          <w:p w:rsidR="00031AAF" w:rsidRDefault="0089435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764540</wp:posOffset>
                      </wp:positionV>
                      <wp:extent cx="1538605" cy="209550"/>
                      <wp:effectExtent l="14605" t="8255" r="1397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3860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35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EAB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80.9pt;margin-top:60.2pt;width:121.15pt;height:16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"/>
                  </w:pict>
                </mc:Fallback>
              </mc:AlternateContent>
            </w:r>
            <w:r w:rsidR="00031AAF">
              <w:t>Acteur 1</w:t>
            </w:r>
          </w:p>
        </w:tc>
        <w:tc>
          <w:tcPr>
            <w:tcW w:w="1955" w:type="dxa"/>
          </w:tcPr>
          <w:p w:rsidR="00031AAF" w:rsidRDefault="00031AAF">
            <w:r>
              <w:t>Acteur 2</w:t>
            </w:r>
          </w:p>
        </w:tc>
        <w:tc>
          <w:tcPr>
            <w:tcW w:w="1956" w:type="dxa"/>
          </w:tcPr>
          <w:p w:rsidR="00031AAF" w:rsidRDefault="00031AAF">
            <w:r>
              <w:t>Acteur 3</w:t>
            </w:r>
          </w:p>
        </w:tc>
        <w:tc>
          <w:tcPr>
            <w:tcW w:w="1956" w:type="dxa"/>
          </w:tcPr>
          <w:p w:rsidR="00031AAF" w:rsidRDefault="00031AAF">
            <w:r>
              <w:t>Acteur 4</w:t>
            </w:r>
          </w:p>
        </w:tc>
        <w:tc>
          <w:tcPr>
            <w:tcW w:w="1956" w:type="dxa"/>
          </w:tcPr>
          <w:p w:rsidR="00031AAF" w:rsidRDefault="00031AAF">
            <w:r>
              <w:t>…</w:t>
            </w:r>
          </w:p>
        </w:tc>
      </w:tr>
      <w:tr w:rsidR="00031AAF" w:rsidTr="00031AAF">
        <w:tc>
          <w:tcPr>
            <w:tcW w:w="1955" w:type="dxa"/>
          </w:tcPr>
          <w:p w:rsidR="00031AAF" w:rsidRDefault="00031AAF">
            <w:r>
              <w:t>Elève 1</w:t>
            </w:r>
          </w:p>
        </w:tc>
        <w:tc>
          <w:tcPr>
            <w:tcW w:w="1955" w:type="dxa"/>
          </w:tcPr>
          <w:p w:rsidR="00031AAF" w:rsidRDefault="00031AAF">
            <w:r w:rsidRPr="007F00CC">
              <w:t xml:space="preserve">Elève </w:t>
            </w:r>
            <w:r>
              <w:t>8</w:t>
            </w:r>
          </w:p>
        </w:tc>
        <w:tc>
          <w:tcPr>
            <w:tcW w:w="1956" w:type="dxa"/>
          </w:tcPr>
          <w:p w:rsidR="00031AAF" w:rsidRDefault="00031AAF">
            <w:r w:rsidRPr="007F00CC">
              <w:t xml:space="preserve">Elève </w:t>
            </w:r>
            <w:r>
              <w:t>9</w:t>
            </w:r>
          </w:p>
        </w:tc>
        <w:tc>
          <w:tcPr>
            <w:tcW w:w="1956" w:type="dxa"/>
          </w:tcPr>
          <w:p w:rsidR="00031AAF" w:rsidRDefault="00031AAF">
            <w:r>
              <w:t>Elève13</w:t>
            </w:r>
          </w:p>
        </w:tc>
        <w:tc>
          <w:tcPr>
            <w:tcW w:w="1956" w:type="dxa"/>
          </w:tcPr>
          <w:p w:rsidR="00031AAF" w:rsidRDefault="00031AAF">
            <w:r>
              <w:t>Article 1 ou thématique 1</w:t>
            </w:r>
          </w:p>
        </w:tc>
      </w:tr>
      <w:tr w:rsidR="00031AAF" w:rsidTr="00031AAF"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2</w:t>
            </w:r>
          </w:p>
        </w:tc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7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10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14</w:t>
            </w:r>
          </w:p>
        </w:tc>
        <w:tc>
          <w:tcPr>
            <w:tcW w:w="1956" w:type="dxa"/>
          </w:tcPr>
          <w:p w:rsidR="00031AAF" w:rsidRDefault="00031AAF">
            <w:r>
              <w:t>Article 2ou  thématique  2</w:t>
            </w:r>
          </w:p>
        </w:tc>
      </w:tr>
      <w:tr w:rsidR="00031AAF" w:rsidTr="00031AAF"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3</w:t>
            </w:r>
          </w:p>
        </w:tc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6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11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15</w:t>
            </w:r>
          </w:p>
        </w:tc>
        <w:tc>
          <w:tcPr>
            <w:tcW w:w="1956" w:type="dxa"/>
          </w:tcPr>
          <w:p w:rsidR="00031AAF" w:rsidRDefault="00031AAF" w:rsidP="00031AAF">
            <w:r>
              <w:t>Article 3/ thématique  3</w:t>
            </w:r>
          </w:p>
        </w:tc>
      </w:tr>
      <w:tr w:rsidR="00031AAF" w:rsidTr="00031AAF"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4</w:t>
            </w:r>
          </w:p>
        </w:tc>
        <w:tc>
          <w:tcPr>
            <w:tcW w:w="1955" w:type="dxa"/>
          </w:tcPr>
          <w:p w:rsidR="00031AAF" w:rsidRDefault="00031AAF">
            <w:r w:rsidRPr="00650AA5">
              <w:t xml:space="preserve">Elève </w:t>
            </w:r>
            <w:r>
              <w:t>5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12</w:t>
            </w:r>
          </w:p>
        </w:tc>
        <w:tc>
          <w:tcPr>
            <w:tcW w:w="1956" w:type="dxa"/>
          </w:tcPr>
          <w:p w:rsidR="00031AAF" w:rsidRDefault="00031AAF">
            <w:r w:rsidRPr="00650AA5">
              <w:t xml:space="preserve">Elève </w:t>
            </w:r>
            <w:r>
              <w:t>16</w:t>
            </w:r>
          </w:p>
        </w:tc>
        <w:tc>
          <w:tcPr>
            <w:tcW w:w="1956" w:type="dxa"/>
          </w:tcPr>
          <w:p w:rsidR="00031AAF" w:rsidRDefault="00031AAF" w:rsidP="00031AAF">
            <w:r>
              <w:t>Article 4/ thématique  4</w:t>
            </w:r>
          </w:p>
        </w:tc>
      </w:tr>
    </w:tbl>
    <w:p w:rsidR="00031AAF" w:rsidRDefault="0089435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290830</wp:posOffset>
                </wp:positionV>
                <wp:extent cx="2066925" cy="1266825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A8" w:rsidRDefault="006757A8">
                            <w:r>
                              <w:t>Sens de déplacement des élèves ou des articles</w:t>
                            </w:r>
                            <w:r w:rsidR="00005850">
                              <w:t xml:space="preserve"> et de la prise de note successive des différents élèves </w:t>
                            </w:r>
                            <w:r>
                              <w:t xml:space="preserve"> après 10 minutes de lecture doc et brouillon arguments, objectifs et enjeux de leur acteur.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95pt;margin-top:22.9pt;width:16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">
                <v:textbox>
                  <w:txbxContent>
                    <w:p w:rsidR="006757A8" w:rsidRDefault="006757A8">
                      <w:r>
                        <w:t>Sens de déplacement des élèves ou des articles</w:t>
                      </w:r>
                      <w:r w:rsidR="00005850">
                        <w:t xml:space="preserve"> et de la prise de note successive des différents élèves </w:t>
                      </w:r>
                      <w:r>
                        <w:t xml:space="preserve"> après 10 minutes de lecture doc et brouillon arguments, objectifs et enjeux de leur acteur.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AAF" w:rsidSect="00512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5850"/>
    <w:rsid w:val="00031AAF"/>
    <w:rsid w:val="004A3905"/>
    <w:rsid w:val="0051292C"/>
    <w:rsid w:val="006757A8"/>
    <w:rsid w:val="00840647"/>
    <w:rsid w:val="0089435D"/>
    <w:rsid w:val="00E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7689-E09E-4E8B-8121-66A1113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9493-1660-43DE-92B6-9AC30A9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inspecteur</cp:lastModifiedBy>
  <cp:revision>2</cp:revision>
  <dcterms:created xsi:type="dcterms:W3CDTF">2019-09-29T19:27:00Z</dcterms:created>
  <dcterms:modified xsi:type="dcterms:W3CDTF">2019-09-29T19:27:00Z</dcterms:modified>
</cp:coreProperties>
</file>