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1B1D" w:rsidRPr="00922E30" w:rsidRDefault="00082D29" w:rsidP="00922E30">
      <w:pPr>
        <w:pStyle w:val="Titre1"/>
      </w:pP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00" w:line="240" w:lineRule="auto"/>
        <w:jc w:val="center"/>
      </w:pPr>
      <w:r>
        <w:rPr>
          <w:rFonts w:ascii="Marianne" w:eastAsia="Marianne" w:hAnsi="Marianne" w:cs="Marianne"/>
          <w:b/>
          <w:color w:val="000000"/>
          <w:sz w:val="20"/>
          <w:szCs w:val="20"/>
        </w:rPr>
        <w:t>PROFIL DE TERRITOIRE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400" w:line="240" w:lineRule="auto"/>
        <w:jc w:val="center"/>
      </w:pPr>
      <w:r>
        <w:rPr>
          <w:rFonts w:ascii="Marianne" w:eastAsia="Marianne" w:hAnsi="Marianne" w:cs="Marianne"/>
          <w:b/>
          <w:color w:val="000000"/>
          <w:sz w:val="20"/>
          <w:szCs w:val="20"/>
        </w:rPr>
        <w:t>Ile-de-France (11)</w:t>
      </w:r>
    </w:p>
    <w:p w:rsidR="00501962" w:rsidRDefault="00082D29">
      <w:pPr>
        <w:pStyle w:val="TM1"/>
        <w:tabs>
          <w:tab w:val="right" w:leader="dot" w:pos="9016"/>
        </w:tabs>
        <w:rPr>
          <w:noProof/>
        </w:rPr>
      </w:pPr>
      <w:r>
        <w:fldChar w:fldCharType="begin"/>
      </w:r>
      <w:r>
        <w:instrText>TOC \o "1-3" \h \z \u</w:instrText>
      </w:r>
      <w:r w:rsidR="00501962">
        <w:fldChar w:fldCharType="separate"/>
      </w:r>
      <w:hyperlink w:anchor="_Toc196829719" w:history="1">
        <w:r w:rsidR="00501962" w:rsidRPr="00FA5260">
          <w:rPr>
            <w:rStyle w:val="Lienhypertexte"/>
            <w:noProof/>
          </w:rPr>
          <w:t>1 PRÉCAUTIONS MÉTHODOLOGIQUES</w:t>
        </w:r>
        <w:r w:rsidR="00501962">
          <w:rPr>
            <w:noProof/>
            <w:webHidden/>
          </w:rPr>
          <w:tab/>
        </w:r>
        <w:r w:rsidR="00501962">
          <w:rPr>
            <w:noProof/>
            <w:webHidden/>
          </w:rPr>
          <w:fldChar w:fldCharType="begin"/>
        </w:r>
        <w:r w:rsidR="00501962">
          <w:rPr>
            <w:noProof/>
            <w:webHidden/>
          </w:rPr>
          <w:instrText xml:space="preserve"> PAGEREF _Toc196829719 \h </w:instrText>
        </w:r>
        <w:r w:rsidR="00501962">
          <w:rPr>
            <w:noProof/>
            <w:webHidden/>
          </w:rPr>
        </w:r>
        <w:r w:rsidR="00501962">
          <w:rPr>
            <w:noProof/>
            <w:webHidden/>
          </w:rPr>
          <w:fldChar w:fldCharType="separate"/>
        </w:r>
        <w:r w:rsidR="00501962">
          <w:rPr>
            <w:noProof/>
            <w:webHidden/>
          </w:rPr>
          <w:t>2</w:t>
        </w:r>
        <w:r w:rsidR="00501962">
          <w:rPr>
            <w:noProof/>
            <w:webHidden/>
          </w:rPr>
          <w:fldChar w:fldCharType="end"/>
        </w:r>
      </w:hyperlink>
    </w:p>
    <w:p w:rsidR="00501962" w:rsidRDefault="00501962">
      <w:pPr>
        <w:pStyle w:val="TM1"/>
        <w:tabs>
          <w:tab w:val="right" w:leader="dot" w:pos="9016"/>
        </w:tabs>
        <w:rPr>
          <w:noProof/>
        </w:rPr>
      </w:pPr>
      <w:hyperlink w:anchor="_Toc196829720" w:history="1">
        <w:r w:rsidRPr="00FA5260">
          <w:rPr>
            <w:rStyle w:val="Lienhypertexte"/>
            <w:noProof/>
          </w:rPr>
          <w:t>2 ARRONDIS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_Toc196829720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501962" w:rsidRDefault="00501962">
      <w:pPr>
        <w:pStyle w:val="TM1"/>
        <w:tabs>
          <w:tab w:val="right" w:leader="dot" w:pos="9016"/>
        </w:tabs>
        <w:rPr>
          <w:noProof/>
        </w:rPr>
      </w:pPr>
      <w:hyperlink w:anchor="_Toc196829721" w:history="1">
        <w:r w:rsidRPr="00FA5260">
          <w:rPr>
            <w:rStyle w:val="Lienhypertexte"/>
            <w:noProof/>
          </w:rPr>
          <w:t>3 ENJEUX À l'ÉCHELLE FRANCILIENNE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_Toc196829721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501962" w:rsidRDefault="00501962">
      <w:pPr>
        <w:pStyle w:val="TM1"/>
        <w:tabs>
          <w:tab w:val="right" w:leader="dot" w:pos="9016"/>
        </w:tabs>
        <w:rPr>
          <w:noProof/>
        </w:rPr>
      </w:pPr>
      <w:hyperlink w:anchor="_Toc196829722" w:history="1">
        <w:r w:rsidRPr="00FA5260">
          <w:rPr>
            <w:rStyle w:val="Lienhypertexte"/>
            <w:noProof/>
          </w:rPr>
          <w:t>4 DIAGNOSTIC DU PARC DE LOGEMENTS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_Toc196829722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501962" w:rsidRDefault="00501962">
      <w:pPr>
        <w:pStyle w:val="TM2"/>
        <w:tabs>
          <w:tab w:val="right" w:leader="dot" w:pos="9016"/>
        </w:tabs>
        <w:rPr>
          <w:noProof/>
        </w:rPr>
      </w:pPr>
      <w:hyperlink w:anchor="_Toc196829723" w:history="1">
        <w:r w:rsidRPr="00FA5260">
          <w:rPr>
            <w:rStyle w:val="Lienhypertexte"/>
            <w:noProof/>
          </w:rPr>
          <w:t>4.1 Part du secteur résidentiel dans les consommations totales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_Toc196829723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501962" w:rsidRDefault="00501962">
      <w:pPr>
        <w:pStyle w:val="TM2"/>
        <w:tabs>
          <w:tab w:val="right" w:leader="dot" w:pos="9016"/>
        </w:tabs>
        <w:rPr>
          <w:noProof/>
        </w:rPr>
      </w:pPr>
      <w:hyperlink w:anchor="_Toc196829724" w:history="1">
        <w:r w:rsidRPr="00FA5260">
          <w:rPr>
            <w:rStyle w:val="Lienhypertexte"/>
            <w:noProof/>
          </w:rPr>
          <w:t>4.2 Evolution des consommations du secteur résidentiel entre 2005 et 2021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_Toc196829724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501962" w:rsidRDefault="00501962">
      <w:pPr>
        <w:pStyle w:val="TM2"/>
        <w:tabs>
          <w:tab w:val="right" w:leader="dot" w:pos="9016"/>
        </w:tabs>
        <w:rPr>
          <w:noProof/>
        </w:rPr>
      </w:pPr>
      <w:hyperlink w:anchor="_Toc196829725" w:history="1">
        <w:r w:rsidRPr="00FA5260">
          <w:rPr>
            <w:rStyle w:val="Lienhypertexte"/>
            <w:noProof/>
          </w:rPr>
          <w:t>4.3 Part du secteur résidentiel dans les émissions de GES totales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_Toc196829725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501962" w:rsidRDefault="00501962">
      <w:pPr>
        <w:pStyle w:val="TM2"/>
        <w:tabs>
          <w:tab w:val="right" w:leader="dot" w:pos="9016"/>
        </w:tabs>
        <w:rPr>
          <w:noProof/>
        </w:rPr>
      </w:pPr>
      <w:hyperlink w:anchor="_Toc196829726" w:history="1">
        <w:r w:rsidRPr="00FA5260">
          <w:rPr>
            <w:rStyle w:val="Lienhypertexte"/>
            <w:noProof/>
          </w:rPr>
          <w:t>4.4 Evolution des émissions de gaz à effet de serre dans le secteur résidentiel entre 2005 et 2021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_Toc196829726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501962" w:rsidRDefault="00501962">
      <w:pPr>
        <w:pStyle w:val="TM2"/>
        <w:tabs>
          <w:tab w:val="right" w:leader="dot" w:pos="9016"/>
        </w:tabs>
        <w:rPr>
          <w:noProof/>
        </w:rPr>
      </w:pPr>
      <w:hyperlink w:anchor="_Toc196829727" w:history="1">
        <w:r w:rsidRPr="00FA5260">
          <w:rPr>
            <w:rStyle w:val="Lienhypertexte"/>
            <w:noProof/>
          </w:rPr>
          <w:t>4.5 Mix énergétique du secteur résidentiel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_Toc196829727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501962" w:rsidRDefault="00501962">
      <w:pPr>
        <w:pStyle w:val="TM2"/>
        <w:tabs>
          <w:tab w:val="right" w:leader="dot" w:pos="9016"/>
        </w:tabs>
        <w:rPr>
          <w:noProof/>
        </w:rPr>
      </w:pPr>
      <w:hyperlink w:anchor="_Toc196829728" w:history="1">
        <w:r w:rsidRPr="00FA5260">
          <w:rPr>
            <w:rStyle w:val="Lienhypertexte"/>
            <w:noProof/>
          </w:rPr>
          <w:t>4.6 Parc de logements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_Toc196829728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501962" w:rsidRDefault="00501962">
      <w:pPr>
        <w:pStyle w:val="TM2"/>
        <w:tabs>
          <w:tab w:val="right" w:leader="dot" w:pos="9016"/>
        </w:tabs>
        <w:rPr>
          <w:noProof/>
        </w:rPr>
      </w:pPr>
      <w:hyperlink w:anchor="_Toc196829729" w:history="1">
        <w:r w:rsidRPr="00FA5260">
          <w:rPr>
            <w:rStyle w:val="Lienhypertexte"/>
            <w:noProof/>
          </w:rPr>
          <w:t>4.7 Conclusion, leviers locaux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_Toc196829729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501962" w:rsidRDefault="00501962">
      <w:pPr>
        <w:pStyle w:val="TM1"/>
        <w:tabs>
          <w:tab w:val="right" w:leader="dot" w:pos="9016"/>
        </w:tabs>
        <w:rPr>
          <w:noProof/>
        </w:rPr>
      </w:pPr>
      <w:hyperlink w:anchor="_Toc196829730" w:history="1">
        <w:r w:rsidRPr="00FA5260">
          <w:rPr>
            <w:rStyle w:val="Lienhypertexte"/>
            <w:noProof/>
          </w:rPr>
          <w:t>5 DIAGNOSTIC DU PARC TERTIAIRE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_Toc196829730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501962" w:rsidRDefault="00501962">
      <w:pPr>
        <w:pStyle w:val="TM2"/>
        <w:tabs>
          <w:tab w:val="right" w:leader="dot" w:pos="9016"/>
        </w:tabs>
        <w:rPr>
          <w:noProof/>
        </w:rPr>
      </w:pPr>
      <w:hyperlink w:anchor="_Toc196829731" w:history="1">
        <w:r w:rsidRPr="00FA5260">
          <w:rPr>
            <w:rStyle w:val="Lienhypertexte"/>
            <w:noProof/>
          </w:rPr>
          <w:t>5.1 Part des consommations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_Toc196829731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501962" w:rsidRDefault="00501962">
      <w:pPr>
        <w:pStyle w:val="TM2"/>
        <w:tabs>
          <w:tab w:val="right" w:leader="dot" w:pos="9016"/>
        </w:tabs>
        <w:rPr>
          <w:noProof/>
        </w:rPr>
      </w:pPr>
      <w:hyperlink w:anchor="_Toc196829732" w:history="1">
        <w:r w:rsidRPr="00FA5260">
          <w:rPr>
            <w:rStyle w:val="Lienhypertexte"/>
            <w:noProof/>
          </w:rPr>
          <w:t>5.2 Evolution des consommations du secteur tertiaire entre 2005 et 2021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_Toc196829732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501962" w:rsidRDefault="00501962">
      <w:pPr>
        <w:pStyle w:val="TM2"/>
        <w:tabs>
          <w:tab w:val="right" w:leader="dot" w:pos="9016"/>
        </w:tabs>
        <w:rPr>
          <w:noProof/>
        </w:rPr>
      </w:pPr>
      <w:hyperlink w:anchor="_Toc196829733" w:history="1">
        <w:r w:rsidRPr="00FA5260">
          <w:rPr>
            <w:rStyle w:val="Lienhypertexte"/>
            <w:noProof/>
          </w:rPr>
          <w:t>5.3 Part des GES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_Toc196829733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</w:t>
        </w:r>
        <w:r>
          <w:rPr>
            <w:noProof/>
            <w:webHidden/>
          </w:rPr>
          <w:fldChar w:fldCharType="end"/>
        </w:r>
      </w:hyperlink>
    </w:p>
    <w:p w:rsidR="00501962" w:rsidRDefault="00501962">
      <w:pPr>
        <w:pStyle w:val="TM2"/>
        <w:tabs>
          <w:tab w:val="right" w:leader="dot" w:pos="9016"/>
        </w:tabs>
        <w:rPr>
          <w:noProof/>
        </w:rPr>
      </w:pPr>
      <w:hyperlink w:anchor="_Toc196829734" w:history="1">
        <w:r w:rsidRPr="00FA5260">
          <w:rPr>
            <w:rStyle w:val="Lienhypertexte"/>
            <w:noProof/>
          </w:rPr>
          <w:t>5.4 Evolution des émissions de gaz à effet de serre dans le secteur tertiaire entre 2005 et 2021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_Toc196829734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</w:t>
        </w:r>
        <w:r>
          <w:rPr>
            <w:noProof/>
            <w:webHidden/>
          </w:rPr>
          <w:fldChar w:fldCharType="end"/>
        </w:r>
      </w:hyperlink>
    </w:p>
    <w:p w:rsidR="00501962" w:rsidRDefault="00501962">
      <w:pPr>
        <w:pStyle w:val="TM2"/>
        <w:tabs>
          <w:tab w:val="right" w:leader="dot" w:pos="9016"/>
        </w:tabs>
        <w:rPr>
          <w:noProof/>
        </w:rPr>
      </w:pPr>
      <w:hyperlink w:anchor="_Toc196829735" w:history="1">
        <w:r w:rsidRPr="00FA5260">
          <w:rPr>
            <w:rStyle w:val="Lienhypertexte"/>
            <w:noProof/>
          </w:rPr>
          <w:t>5.5 Description du parc, et comparaison Ile-de-France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_Toc196829735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11</w:t>
        </w:r>
        <w:r>
          <w:rPr>
            <w:noProof/>
            <w:webHidden/>
          </w:rPr>
          <w:fldChar w:fldCharType="end"/>
        </w:r>
      </w:hyperlink>
    </w:p>
    <w:p w:rsidR="00501962" w:rsidRDefault="00501962">
      <w:pPr>
        <w:pStyle w:val="TM2"/>
        <w:tabs>
          <w:tab w:val="right" w:leader="dot" w:pos="9016"/>
        </w:tabs>
        <w:rPr>
          <w:noProof/>
        </w:rPr>
      </w:pPr>
      <w:hyperlink w:anchor="_Toc196829736" w:history="1">
        <w:r w:rsidRPr="00FA5260">
          <w:rPr>
            <w:rStyle w:val="Lienhypertexte"/>
            <w:noProof/>
          </w:rPr>
          <w:t>5.6 Mix énergétique, et comparaison Ile-de-France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_Toc196829736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11</w:t>
        </w:r>
        <w:r>
          <w:rPr>
            <w:noProof/>
            <w:webHidden/>
          </w:rPr>
          <w:fldChar w:fldCharType="end"/>
        </w:r>
      </w:hyperlink>
    </w:p>
    <w:p w:rsidR="00501962" w:rsidRDefault="00501962">
      <w:pPr>
        <w:pStyle w:val="TM2"/>
        <w:tabs>
          <w:tab w:val="right" w:leader="dot" w:pos="9016"/>
        </w:tabs>
        <w:rPr>
          <w:noProof/>
        </w:rPr>
      </w:pPr>
      <w:hyperlink w:anchor="_Toc196829737" w:history="1">
        <w:r w:rsidRPr="00FA5260">
          <w:rPr>
            <w:rStyle w:val="Lienhypertexte"/>
            <w:noProof/>
          </w:rPr>
          <w:t>5.7 Conclusion, leviers locaux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_Toc196829737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12</w:t>
        </w:r>
        <w:r>
          <w:rPr>
            <w:noProof/>
            <w:webHidden/>
          </w:rPr>
          <w:fldChar w:fldCharType="end"/>
        </w:r>
      </w:hyperlink>
    </w:p>
    <w:p w:rsidR="005C4DAE" w:rsidRDefault="00082D29">
      <w:r>
        <w:fldChar w:fldCharType="end"/>
      </w:r>
    </w:p>
    <w:p w:rsidR="005C4DAE" w:rsidRDefault="00082D29">
      <w:r>
        <w:br w:type="page"/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00" w:line="240" w:lineRule="auto"/>
      </w:pPr>
      <w:r>
        <w:rPr>
          <w:rFonts w:ascii="Marianne" w:eastAsia="Marianne" w:hAnsi="Marianne" w:cs="Marianne"/>
          <w:b/>
          <w:i/>
          <w:color w:val="000000"/>
          <w:sz w:val="26"/>
          <w:szCs w:val="26"/>
        </w:rPr>
        <w:lastRenderedPageBreak/>
        <w:t>Aperçu géographique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0" w:line="240" w:lineRule="auto"/>
        <w:jc w:val="center"/>
      </w:pPr>
      <w:r>
        <w:rPr>
          <w:noProof/>
          <w:lang w:eastAsia="fr-FR"/>
        </w:rPr>
        <w:drawing>
          <wp:inline distT="0" distB="0" distL="0" distR="0">
            <wp:extent cx="4572000" cy="411480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0" cy="57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C4DAE" w:rsidRDefault="00082D29">
      <w:pPr>
        <w:pStyle w:val="Titre1"/>
      </w:pPr>
      <w:bookmarkStart w:id="0" w:name="_Toc196829719"/>
      <w:r>
        <w:t>1 PRÉCAUTIONS MÉTHODOLOGIQUES</w:t>
      </w:r>
      <w:bookmarkEnd w:id="0"/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Ce profil de territoire propose d'aider à l'identification des enjeux particuliers de la Région sur le secteur du bâtiment (résidentiel et tertiaire).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 xml:space="preserve">Il s'appuie sur l'outil BATISTATO, référencé à l'adresse suivante : </w:t>
      </w:r>
      <w:hyperlink r:id="rId7">
        <w:r>
          <w:rPr>
            <w:rFonts w:ascii="Marianne" w:eastAsia="Marianne" w:hAnsi="Marianne" w:cs="Marianne"/>
            <w:color w:val="0000FF"/>
            <w:sz w:val="20"/>
            <w:szCs w:val="20"/>
            <w:u w:val="single"/>
          </w:rPr>
          <w:t>https://ssm-ecologie.shinyapps.io/batistato/</w:t>
        </w:r>
      </w:hyperlink>
      <w:r>
        <w:rPr>
          <w:rFonts w:ascii="Marianne" w:eastAsia="Marianne" w:hAnsi="Marianne" w:cs="Marianne"/>
          <w:color w:val="000000"/>
          <w:sz w:val="20"/>
          <w:szCs w:val="20"/>
        </w:rPr>
        <w:t xml:space="preserve"> ainsi que sur la modélisation des consommations par Airparif pour le Réseau d'observation statistique de l'énergie et des GES (ROSE).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Ces outils sont établis à partir de sources statis</w:t>
      </w:r>
      <w:r>
        <w:rPr>
          <w:rFonts w:ascii="Marianne" w:eastAsia="Marianne" w:hAnsi="Marianne" w:cs="Marianne"/>
          <w:color w:val="000000"/>
          <w:sz w:val="20"/>
          <w:szCs w:val="20"/>
        </w:rPr>
        <w:t>tiques pré-existantes (INSEE, fichiers fonciers, base éco-énergie tertiaire, BDNB...) spécifiquement agrégées et mises en forme de manière à donner un éclairage sur les enjeux liés à la rénovation énergétique des secteurs résidentiels et tertiaires.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Cepend</w:t>
      </w:r>
      <w:r>
        <w:rPr>
          <w:rFonts w:ascii="Marianne" w:eastAsia="Marianne" w:hAnsi="Marianne" w:cs="Marianne"/>
          <w:color w:val="000000"/>
          <w:sz w:val="20"/>
          <w:szCs w:val="20"/>
        </w:rPr>
        <w:t>ant,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 xml:space="preserve">•  il convient de se référer à l'onglet méthodologie de </w:t>
      </w:r>
      <w:hyperlink r:id="rId8">
        <w:r>
          <w:rPr>
            <w:rFonts w:ascii="Marianne" w:eastAsia="Marianne" w:hAnsi="Marianne" w:cs="Marianne"/>
            <w:color w:val="0000FF"/>
            <w:sz w:val="20"/>
            <w:szCs w:val="20"/>
            <w:u w:val="single"/>
          </w:rPr>
          <w:t>BATISTATO</w:t>
        </w:r>
      </w:hyperlink>
      <w:r>
        <w:rPr>
          <w:rFonts w:ascii="Marianne" w:eastAsia="Marianne" w:hAnsi="Marianne" w:cs="Marianne"/>
          <w:color w:val="000000"/>
          <w:sz w:val="20"/>
          <w:szCs w:val="20"/>
        </w:rPr>
        <w:t xml:space="preserve"> ainsi que de prendre connaissance de la méthode de </w:t>
      </w:r>
      <w:hyperlink r:id="rId9">
        <w:r>
          <w:rPr>
            <w:rFonts w:ascii="Marianne" w:eastAsia="Marianne" w:hAnsi="Marianne" w:cs="Marianne"/>
            <w:color w:val="0000FF"/>
            <w:sz w:val="20"/>
            <w:szCs w:val="20"/>
            <w:u w:val="single"/>
          </w:rPr>
          <w:t>modélisation d'Airparif</w:t>
        </w:r>
      </w:hyperlink>
      <w:r>
        <w:rPr>
          <w:rFonts w:ascii="Marianne" w:eastAsia="Marianne" w:hAnsi="Marianne" w:cs="Marianne"/>
          <w:color w:val="000000"/>
          <w:sz w:val="20"/>
          <w:szCs w:val="20"/>
        </w:rPr>
        <w:t xml:space="preserve"> pour connaître leurs modes d'élaboration et leurs limites méthodologiques ;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•  ces outils sont en mesure de dégager des orientations et des priorités, mais ne garantissent pas une précision ab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solue ; 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lastRenderedPageBreak/>
        <w:t>•  les résultats peuvent éventuellement différer de données connues par ailleurs, construites selon d'autres méthodologies conçues pour d'autres exercices sans que cela ne porte préjudice à leur exploitation dans ce cadre précis ;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•  d'autres sour</w:t>
      </w:r>
      <w:r>
        <w:rPr>
          <w:rFonts w:ascii="Marianne" w:eastAsia="Marianne" w:hAnsi="Marianne" w:cs="Marianne"/>
          <w:color w:val="000000"/>
          <w:sz w:val="20"/>
          <w:szCs w:val="20"/>
        </w:rPr>
        <w:t>ces de données disponibles localement peuvent éventuellement être plus précises et plus pertinentes (par exemple enquête, étude, outil).</w:t>
      </w:r>
    </w:p>
    <w:p w:rsidR="005C4DAE" w:rsidRDefault="00082D29">
      <w:pPr>
        <w:pStyle w:val="Titre1"/>
      </w:pPr>
      <w:bookmarkStart w:id="1" w:name="_Toc196829720"/>
      <w:r>
        <w:t>2 ARRONDIS</w:t>
      </w:r>
      <w:bookmarkEnd w:id="1"/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 xml:space="preserve">L’ensemble des chiffres de consommation est présenté sans arrondis, afin de pouvoir vérifier l’ensemble des </w:t>
      </w:r>
      <w:r>
        <w:rPr>
          <w:rFonts w:ascii="Marianne" w:eastAsia="Marianne" w:hAnsi="Marianne" w:cs="Marianne"/>
          <w:color w:val="000000"/>
          <w:sz w:val="20"/>
          <w:szCs w:val="20"/>
        </w:rPr>
        <w:t>calculs et agrégations. Toutefois, avant publication, il serait préférable de revoir l’ensemble de ces chiffres avec un arrondi adapté aux ordres de grandeurs constatés sur le territoire.</w:t>
      </w:r>
    </w:p>
    <w:p w:rsidR="005C4DAE" w:rsidRDefault="00082D29">
      <w:pPr>
        <w:pStyle w:val="Titre1"/>
      </w:pPr>
      <w:bookmarkStart w:id="2" w:name="_Toc196829721"/>
      <w:r>
        <w:t>3 ENJEUX À l'ÉCHELLE FRANCILIENNE</w:t>
      </w:r>
      <w:bookmarkEnd w:id="2"/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Pour le secteur du bâtiment (terti</w:t>
      </w:r>
      <w:r>
        <w:rPr>
          <w:rFonts w:ascii="Marianne" w:eastAsia="Marianne" w:hAnsi="Marianne" w:cs="Marianne"/>
          <w:color w:val="000000"/>
          <w:sz w:val="20"/>
          <w:szCs w:val="20"/>
        </w:rPr>
        <w:t>aire et résidentiel), les objectifs pour 2050 définis dans la Stratégie Nationale Bas Carbone (SNBC) consistent en une baisse des consommations de 50% et une décarbonation complète d'ici 2050. Pour cela la SNBC estime le rythme annuel de rénovations de log</w:t>
      </w:r>
      <w:r>
        <w:rPr>
          <w:rFonts w:ascii="Marianne" w:eastAsia="Marianne" w:hAnsi="Marianne" w:cs="Marianne"/>
          <w:color w:val="000000"/>
          <w:sz w:val="20"/>
          <w:szCs w:val="20"/>
        </w:rPr>
        <w:t>ements à 370 000 rénovations complètes équivalentes sur la période 2015-2030 puis 700 000 rénovations complètes équivalentes en moyenne sur la période 2030-2050.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Le Schéma Régional Climat Air Energie (SRCAE), actuellement en cours de révision, fixera des ambitions régionales en cohérence avec cet objectif.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 xml:space="preserve">Par ailleurs, les valeurs de court terme (2030) ne doivent être considérés que comme des points de passage de </w:t>
      </w:r>
      <w:r>
        <w:rPr>
          <w:rFonts w:ascii="Marianne" w:eastAsia="Marianne" w:hAnsi="Marianne" w:cs="Marianne"/>
          <w:color w:val="000000"/>
          <w:sz w:val="20"/>
          <w:szCs w:val="20"/>
        </w:rPr>
        <w:t>la trajectoire menant aux objectifs de moyen terme (2050), et non comme des objectifs en tant que tels.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 xml:space="preserve">Les enjeux liés à la rénovation énergétique sont détaillés dans cet article publié sur le site de la DRIEAT : </w:t>
      </w:r>
      <w:hyperlink r:id="rId10">
        <w:r>
          <w:rPr>
            <w:rFonts w:ascii="Marianne" w:eastAsia="Marianne" w:hAnsi="Marianne" w:cs="Marianne"/>
            <w:color w:val="0000FF"/>
            <w:sz w:val="20"/>
            <w:szCs w:val="20"/>
            <w:u w:val="single"/>
          </w:rPr>
          <w:t>Contexte de la rénovation énergétique en Ile-de-France</w:t>
        </w:r>
      </w:hyperlink>
      <w:r>
        <w:rPr>
          <w:rFonts w:ascii="Marianne" w:eastAsia="Marianne" w:hAnsi="Marianne" w:cs="Marianne"/>
          <w:color w:val="000000"/>
          <w:sz w:val="20"/>
          <w:szCs w:val="20"/>
        </w:rPr>
        <w:t>.</w:t>
      </w:r>
    </w:p>
    <w:p w:rsidR="005C4DAE" w:rsidRDefault="00082D29">
      <w:pPr>
        <w:pStyle w:val="Titre1"/>
      </w:pPr>
      <w:bookmarkStart w:id="3" w:name="_Toc196829722"/>
      <w:r>
        <w:lastRenderedPageBreak/>
        <w:t>4 DIAGNOSTIC DU PARC DE LOGEMENTS</w:t>
      </w:r>
      <w:bookmarkEnd w:id="3"/>
    </w:p>
    <w:p w:rsidR="005C4DAE" w:rsidRDefault="00082D29">
      <w:pPr>
        <w:pStyle w:val="Titre2"/>
      </w:pPr>
      <w:bookmarkStart w:id="4" w:name="_Toc196829723"/>
      <w:r>
        <w:t>4.1 Part du secteur résidentiel dans les consommations totales</w:t>
      </w:r>
      <w:bookmarkEnd w:id="4"/>
    </w:p>
    <w:p w:rsidR="005C4DAE" w:rsidRDefault="00082D29">
      <w:r>
        <w:rPr>
          <w:noProof/>
          <w:lang w:eastAsia="fr-FR"/>
        </w:rPr>
        <w:drawing>
          <wp:inline distT="0" distB="0" distL="0" distR="0">
            <wp:extent cx="5486400" cy="2743200"/>
            <wp:effectExtent l="0" t="0" r="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 w:line="240" w:lineRule="auto"/>
        <w:jc w:val="center"/>
      </w:pPr>
      <w:r>
        <w:rPr>
          <w:rFonts w:ascii="Calibri" w:eastAsia="Calibri" w:hAnsi="Calibri" w:cs="Calibri"/>
          <w:i/>
          <w:color w:val="000000"/>
          <w:sz w:val="18"/>
          <w:szCs w:val="18"/>
        </w:rPr>
        <w:t>L</w:t>
      </w:r>
      <w:r>
        <w:rPr>
          <w:rFonts w:ascii="Calibri" w:eastAsia="Calibri" w:hAnsi="Calibri" w:cs="Calibri"/>
          <w:i/>
          <w:color w:val="000000"/>
          <w:sz w:val="18"/>
          <w:szCs w:val="18"/>
        </w:rPr>
        <w:t>es consommations totales du territoire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 xml:space="preserve">En 2019, d'après la modélisation Airparif pour le ROSE les consommations du secteur résidentiel représentent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38 %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des consommations totales du territoire.</w:t>
      </w:r>
    </w:p>
    <w:p w:rsidR="005C4DAE" w:rsidRDefault="00082D29">
      <w:pPr>
        <w:pStyle w:val="Titre2"/>
      </w:pPr>
      <w:bookmarkStart w:id="5" w:name="_Toc196829724"/>
      <w:r>
        <w:t>4.2 Evolution des consommations du secteur résidentiel entre 2005 et 2021</w:t>
      </w:r>
      <w:bookmarkEnd w:id="5"/>
    </w:p>
    <w:p w:rsidR="005C4DAE" w:rsidRDefault="00082D29">
      <w:r>
        <w:rPr>
          <w:noProof/>
          <w:lang w:eastAsia="fr-FR"/>
        </w:rPr>
        <w:drawing>
          <wp:inline distT="0" distB="0" distL="0" distR="0">
            <wp:extent cx="5486400" cy="1828800"/>
            <wp:effectExtent l="0" t="0" r="0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25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 w:line="240" w:lineRule="auto"/>
        <w:jc w:val="center"/>
      </w:pPr>
      <w:r>
        <w:rPr>
          <w:rFonts w:ascii="Calibri" w:eastAsia="Calibri" w:hAnsi="Calibri" w:cs="Calibri"/>
          <w:i/>
          <w:color w:val="000000"/>
          <w:sz w:val="18"/>
          <w:szCs w:val="18"/>
        </w:rPr>
        <w:t>Graphique sur l'évolution des consommations du secteur résidentiel entre 2005 et 2021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 xml:space="preserve">Les consommations du secteur résidentiel sont passées de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91 924.41 GWh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en 2005 à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72 309.54 GWh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en 2021, ce qui représente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une baisse de -21 %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sur cette période.</w:t>
      </w:r>
    </w:p>
    <w:p w:rsidR="005C4DAE" w:rsidRDefault="00082D29">
      <w:pPr>
        <w:pStyle w:val="Titre2"/>
      </w:pPr>
      <w:bookmarkStart w:id="6" w:name="_Toc196829725"/>
      <w:r>
        <w:lastRenderedPageBreak/>
        <w:t>4.3 Part du secteur résidentiel dans les émissions de GES totales</w:t>
      </w:r>
      <w:bookmarkEnd w:id="6"/>
    </w:p>
    <w:p w:rsidR="005C4DAE" w:rsidRDefault="00082D29">
      <w:r>
        <w:rPr>
          <w:noProof/>
          <w:lang w:eastAsia="fr-FR"/>
        </w:rPr>
        <w:drawing>
          <wp:inline distT="0" distB="0" distL="0" distR="0">
            <wp:extent cx="5486400" cy="2743200"/>
            <wp:effectExtent l="0" t="0" r="0" b="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 w:line="240" w:lineRule="auto"/>
        <w:jc w:val="center"/>
      </w:pPr>
      <w:r>
        <w:rPr>
          <w:rFonts w:ascii="Calibri" w:eastAsia="Calibri" w:hAnsi="Calibri" w:cs="Calibri"/>
          <w:i/>
          <w:color w:val="000000"/>
          <w:sz w:val="18"/>
          <w:szCs w:val="18"/>
        </w:rPr>
        <w:t>Emissions de GES du territoire par secteur en kteq.CO2/an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 xml:space="preserve">En 2021, le secteur a émis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10612.1892 t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eq CO2 (scope 1&amp;2), soi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t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28 %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des émissions totales de GES du territoire (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37419.3874 t eq CO2</w:t>
      </w:r>
      <w:r>
        <w:rPr>
          <w:rFonts w:ascii="Marianne" w:eastAsia="Marianne" w:hAnsi="Marianne" w:cs="Marianne"/>
          <w:color w:val="000000"/>
          <w:sz w:val="20"/>
          <w:szCs w:val="20"/>
        </w:rPr>
        <w:t>)</w:t>
      </w:r>
    </w:p>
    <w:p w:rsidR="005C4DAE" w:rsidRDefault="00082D29">
      <w:pPr>
        <w:pStyle w:val="Titre2"/>
      </w:pPr>
      <w:bookmarkStart w:id="7" w:name="_Toc196829726"/>
      <w:r>
        <w:t>4.4 Evolution des émissions de gaz à effet de serre dans le secteur résidentiel entre 2005 et 2021</w:t>
      </w:r>
      <w:bookmarkEnd w:id="7"/>
    </w:p>
    <w:p w:rsidR="005C4DAE" w:rsidRDefault="00082D29">
      <w:r>
        <w:rPr>
          <w:noProof/>
          <w:lang w:eastAsia="fr-FR"/>
        </w:rPr>
        <w:drawing>
          <wp:inline distT="0" distB="0" distL="0" distR="0">
            <wp:extent cx="5486400" cy="1828800"/>
            <wp:effectExtent l="0" t="0" r="0" b="0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25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 w:line="240" w:lineRule="auto"/>
        <w:jc w:val="center"/>
      </w:pPr>
      <w:r>
        <w:rPr>
          <w:rFonts w:ascii="Calibri" w:eastAsia="Calibri" w:hAnsi="Calibri" w:cs="Calibri"/>
          <w:i/>
          <w:color w:val="000000"/>
          <w:sz w:val="18"/>
          <w:szCs w:val="18"/>
        </w:rPr>
        <w:t>Graphique sur l'évolution des émissions de gaz à effet de serre dans le secteur tertiaire entre 2005 et 2021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 xml:space="preserve">Les émissions de gaz à effet de serre (scope 1&amp;2) du secteur résidentiel sont passées de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15659.1129 t eq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CO2 en 2005 à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10612.1892 t eq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CO2 en 2021,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soit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une baisse de -32 %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sur la période.</w:t>
      </w:r>
    </w:p>
    <w:p w:rsidR="005C4DAE" w:rsidRDefault="00082D29">
      <w:pPr>
        <w:pStyle w:val="Titre2"/>
      </w:pPr>
      <w:bookmarkStart w:id="8" w:name="_Toc196829727"/>
      <w:r>
        <w:lastRenderedPageBreak/>
        <w:t>4.5 Mix énergétique du secteur résidentiel</w:t>
      </w:r>
      <w:bookmarkEnd w:id="8"/>
    </w:p>
    <w:p w:rsidR="005C4DAE" w:rsidRDefault="00082D29">
      <w:r>
        <w:rPr>
          <w:noProof/>
          <w:lang w:eastAsia="fr-FR"/>
        </w:rPr>
        <w:drawing>
          <wp:inline distT="0" distB="0" distL="0" distR="0">
            <wp:extent cx="5486400" cy="2743200"/>
            <wp:effectExtent l="0" t="0" r="0" b="0"/>
            <wp:docPr id="1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 w:line="240" w:lineRule="auto"/>
        <w:jc w:val="center"/>
      </w:pPr>
      <w:r>
        <w:rPr>
          <w:rFonts w:ascii="Calibri" w:eastAsia="Calibri" w:hAnsi="Calibri" w:cs="Calibri"/>
          <w:i/>
          <w:color w:val="000000"/>
          <w:sz w:val="18"/>
          <w:szCs w:val="18"/>
        </w:rPr>
        <w:t>Mix énergétique du chauffage du territoire Ile-de-France en 2021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 xml:space="preserve">Dans le territoire Ile-de-France,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44 %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des consommations de chauffage sont assurées par le gaz naturel, 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et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6 %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par les produits pétroliers.</w:t>
      </w:r>
    </w:p>
    <w:p w:rsidR="005C4DAE" w:rsidRDefault="00082D29">
      <w:pPr>
        <w:pStyle w:val="Titre2"/>
      </w:pPr>
      <w:bookmarkStart w:id="9" w:name="_Toc196829728"/>
      <w:r>
        <w:t>4.6 Parc de logements</w:t>
      </w:r>
      <w:bookmarkEnd w:id="9"/>
    </w:p>
    <w:p w:rsidR="005C4DAE" w:rsidRDefault="00082D29">
      <w:r>
        <w:rPr>
          <w:noProof/>
          <w:lang w:eastAsia="fr-FR"/>
        </w:rPr>
        <w:drawing>
          <wp:inline distT="0" distB="0" distL="0" distR="0">
            <wp:extent cx="5486400" cy="3657600"/>
            <wp:effectExtent l="0" t="0" r="0" b="0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50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 w:line="240" w:lineRule="auto"/>
        <w:jc w:val="center"/>
      </w:pPr>
      <w:r>
        <w:rPr>
          <w:rFonts w:ascii="Calibri" w:eastAsia="Calibri" w:hAnsi="Calibri" w:cs="Calibri"/>
          <w:i/>
          <w:color w:val="000000"/>
          <w:sz w:val="18"/>
          <w:szCs w:val="18"/>
        </w:rPr>
        <w:t>Logements selon période de construction en Ile-de-France</w:t>
      </w:r>
    </w:p>
    <w:p w:rsidR="005C4DAE" w:rsidRDefault="00082D29" w:rsidP="0050196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  <w:jc w:val="both"/>
      </w:pPr>
      <w:r>
        <w:rPr>
          <w:rFonts w:ascii="Marianne" w:eastAsia="Marianne" w:hAnsi="Marianne" w:cs="Marianne"/>
          <w:color w:val="000000"/>
          <w:sz w:val="20"/>
          <w:szCs w:val="20"/>
        </w:rPr>
        <w:t>Le parc de logements (tout confondu, résidences principales, logements vacants et réside</w:t>
      </w:r>
      <w:r w:rsidR="00501962">
        <w:rPr>
          <w:rFonts w:ascii="Marianne" w:eastAsia="Marianne" w:hAnsi="Marianne" w:cs="Marianne"/>
          <w:color w:val="000000"/>
          <w:sz w:val="20"/>
          <w:szCs w:val="20"/>
        </w:rPr>
        <w:t>nces secondaires) est constitué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F6F78D"/>
        </w:rPr>
        <w:t xml:space="preserve"> d'une forte part de logements collectifs, du parc privé comme du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F6F78D"/>
        </w:rPr>
        <w:lastRenderedPageBreak/>
        <w:t>parc social. On notera la forte part des maisons et du parc collectif privé dans le parc de bâtiment ancien.</w:t>
      </w:r>
    </w:p>
    <w:p w:rsidR="005C4DAE" w:rsidRDefault="00082D29">
      <w:r>
        <w:rPr>
          <w:noProof/>
          <w:lang w:eastAsia="fr-FR"/>
        </w:rPr>
        <w:drawing>
          <wp:inline distT="0" distB="0" distL="0" distR="0">
            <wp:extent cx="5486400" cy="3657600"/>
            <wp:effectExtent l="0" t="0" r="0" b="0"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50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 w:line="240" w:lineRule="auto"/>
        <w:jc w:val="center"/>
      </w:pPr>
      <w:r>
        <w:rPr>
          <w:rFonts w:ascii="Calibri" w:eastAsia="Calibri" w:hAnsi="Calibri" w:cs="Calibri"/>
          <w:i/>
          <w:color w:val="000000"/>
          <w:sz w:val="18"/>
          <w:szCs w:val="18"/>
        </w:rPr>
        <w:t>Consommation du résidentiel  par période de construction (en MWh)</w:t>
      </w:r>
    </w:p>
    <w:p w:rsidR="005C4DAE" w:rsidRDefault="00082D29" w:rsidP="0050196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  <w:jc w:val="both"/>
      </w:pPr>
      <w:r>
        <w:rPr>
          <w:rFonts w:ascii="Marianne" w:eastAsia="Marianne" w:hAnsi="Marianne" w:cs="Marianne"/>
          <w:color w:val="000000"/>
          <w:sz w:val="20"/>
          <w:szCs w:val="20"/>
          <w:shd w:val="clear" w:color="auto" w:fill="F6F78D"/>
        </w:rPr>
        <w:t>Notons ici la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F6F78D"/>
        </w:rPr>
        <w:t xml:space="preserve"> part importante des maisons individuelles dans les consommations du secteur résidentiel, bien qu'il y ait moins de maisons individuelles que d'appartements.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 xml:space="preserve">Le graphique suivant montre la répartition du parc de logement construit avant 1990, à rénover en </w:t>
      </w:r>
      <w:r>
        <w:rPr>
          <w:rFonts w:ascii="Marianne" w:eastAsia="Marianne" w:hAnsi="Marianne" w:cs="Marianne"/>
          <w:color w:val="000000"/>
          <w:sz w:val="20"/>
          <w:szCs w:val="20"/>
        </w:rPr>
        <w:t>priorité, car ne respectant pas la troisième réglementation thermique (1988) :</w:t>
      </w:r>
    </w:p>
    <w:p w:rsidR="005C4DAE" w:rsidRDefault="00082D29">
      <w:r>
        <w:rPr>
          <w:noProof/>
          <w:lang w:eastAsia="fr-FR"/>
        </w:rPr>
        <w:drawing>
          <wp:inline distT="0" distB="0" distL="0" distR="0">
            <wp:extent cx="5486400" cy="2743200"/>
            <wp:effectExtent l="0" t="0" r="0" b="0"/>
            <wp:docPr id="17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 w:line="240" w:lineRule="auto"/>
        <w:jc w:val="center"/>
      </w:pPr>
      <w:r>
        <w:rPr>
          <w:rFonts w:ascii="Calibri" w:eastAsia="Calibri" w:hAnsi="Calibri" w:cs="Calibri"/>
          <w:i/>
          <w:color w:val="000000"/>
          <w:sz w:val="18"/>
          <w:szCs w:val="18"/>
        </w:rPr>
        <w:t>Type des logements construits avant 1990 en surface (m²)</w:t>
      </w:r>
    </w:p>
    <w:p w:rsidR="005C4DAE" w:rsidRDefault="00082D29" w:rsidP="00501962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  <w:jc w:val="both"/>
      </w:pPr>
      <w:r>
        <w:rPr>
          <w:rFonts w:ascii="Marianne" w:eastAsia="Marianne" w:hAnsi="Marianne" w:cs="Marianne"/>
          <w:color w:val="000000"/>
          <w:sz w:val="20"/>
          <w:szCs w:val="20"/>
          <w:shd w:val="clear" w:color="auto" w:fill="F6F78D"/>
        </w:rPr>
        <w:t>On voit de nouveau la part importante de logements individuels privés (en surface) parmi les logements à rénover : 37.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F6F78D"/>
        </w:rPr>
        <w:t>8 %</w:t>
      </w:r>
      <w:r>
        <w:rPr>
          <w:rFonts w:ascii="Marianne" w:eastAsia="Marianne" w:hAnsi="Marianne" w:cs="Marianne"/>
          <w:color w:val="000000"/>
          <w:sz w:val="20"/>
          <w:szCs w:val="20"/>
        </w:rPr>
        <w:t>.</w:t>
      </w:r>
    </w:p>
    <w:p w:rsidR="005C4DAE" w:rsidRDefault="00082D29">
      <w:r>
        <w:rPr>
          <w:noProof/>
          <w:lang w:eastAsia="fr-FR"/>
        </w:rPr>
        <w:lastRenderedPageBreak/>
        <w:drawing>
          <wp:inline distT="0" distB="0" distL="0" distR="0">
            <wp:extent cx="5486400" cy="2743200"/>
            <wp:effectExtent l="0" t="0" r="0" b="0"/>
            <wp:docPr id="19" name="Imag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 w:line="240" w:lineRule="auto"/>
        <w:jc w:val="center"/>
      </w:pPr>
      <w:r>
        <w:rPr>
          <w:rFonts w:ascii="Calibri" w:eastAsia="Calibri" w:hAnsi="Calibri" w:cs="Calibri"/>
          <w:i/>
          <w:color w:val="000000"/>
          <w:sz w:val="18"/>
          <w:szCs w:val="18"/>
        </w:rPr>
        <w:t>Modélisation de la répartition des logements par classe de DPE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 xml:space="preserve">D'après cette modélisation du CSTB issue de la BDNB,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26 %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des logements sont des passoires thermiques (en classe DPE F ou G).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 xml:space="preserve">D'après la publication du SDES </w:t>
      </w:r>
      <w:hyperlink r:id="rId20">
        <w:r>
          <w:rPr>
            <w:rFonts w:ascii="Marianne" w:eastAsia="Marianne" w:hAnsi="Marianne" w:cs="Marianne"/>
            <w:color w:val="0000FF"/>
            <w:sz w:val="20"/>
            <w:szCs w:val="20"/>
            <w:u w:val="single"/>
          </w:rPr>
          <w:t>le parc de logement au 1er janvier 2023</w:t>
        </w:r>
      </w:hyperlink>
      <w:r>
        <w:rPr>
          <w:rFonts w:ascii="Marianne" w:eastAsia="Marianne" w:hAnsi="Marianne" w:cs="Marianne"/>
          <w:color w:val="000000"/>
          <w:sz w:val="20"/>
          <w:szCs w:val="20"/>
        </w:rPr>
        <w:t>, l'Ile-de-France est la région qui concentre le plus de passoires thermiques.</w:t>
      </w:r>
    </w:p>
    <w:p w:rsidR="005C4DAE" w:rsidRDefault="00082D29">
      <w:pPr>
        <w:pStyle w:val="Titre2"/>
      </w:pPr>
      <w:bookmarkStart w:id="10" w:name="_Toc196829729"/>
      <w:r>
        <w:t>4.7 Conclusion, leviers locaux</w:t>
      </w:r>
      <w:bookmarkEnd w:id="10"/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-</w:t>
      </w:r>
      <w:r>
        <w:rPr>
          <w:rFonts w:ascii="Marianne" w:eastAsia="Marianne" w:hAnsi="Marianne" w:cs="Marianne"/>
          <w:color w:val="000000"/>
          <w:sz w:val="20"/>
          <w:szCs w:val="20"/>
        </w:rPr>
        <w:tab/>
        <w:t>La part du logement collectif (parc privé ou parc social) est très importante, il faut donc: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00" w:line="240" w:lineRule="auto"/>
      </w:pPr>
      <w:r>
        <w:rPr>
          <w:rFonts w:ascii="Marianne" w:eastAsia="Marianne" w:hAnsi="Marianne" w:cs="Marianne"/>
          <w:b/>
          <w:color w:val="000000"/>
          <w:sz w:val="20"/>
          <w:szCs w:val="20"/>
        </w:rPr>
        <w:t>Favoriser en priorité une action sur les logements collectifs;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-</w:t>
      </w:r>
      <w:r>
        <w:rPr>
          <w:rFonts w:ascii="Marianne" w:eastAsia="Marianne" w:hAnsi="Marianne" w:cs="Marianne"/>
          <w:color w:val="000000"/>
          <w:sz w:val="20"/>
          <w:szCs w:val="20"/>
        </w:rPr>
        <w:tab/>
        <w:t>Cependant, même s'il y a moins de maisons individuelles que de logements collectifs, les maisons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représentent 37,8% des surfaces à rénover (bâtiments construits avant 1990), ainsi qu'une forte proportion des consommations d'énergie. En effet, les maisons individuelles ont des surfaces moyennes plus élevées et sont également en moyenne plus énergivore</w:t>
      </w:r>
      <w:r>
        <w:rPr>
          <w:rFonts w:ascii="Marianne" w:eastAsia="Marianne" w:hAnsi="Marianne" w:cs="Marianne"/>
          <w:color w:val="000000"/>
          <w:sz w:val="20"/>
          <w:szCs w:val="20"/>
        </w:rPr>
        <w:t>s. L'action vers la rénovation des maisons individuelles doit être intensifiée.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-</w:t>
      </w:r>
      <w:r>
        <w:rPr>
          <w:rFonts w:ascii="Marianne" w:eastAsia="Marianne" w:hAnsi="Marianne" w:cs="Marianne"/>
          <w:color w:val="000000"/>
          <w:sz w:val="20"/>
          <w:szCs w:val="20"/>
        </w:rPr>
        <w:tab/>
        <w:t>Faire une action spécifique vers les logements chauffés en fioul dans les communes périphériques, qui sont les plus concernées;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-</w:t>
      </w:r>
      <w:r>
        <w:rPr>
          <w:rFonts w:ascii="Marianne" w:eastAsia="Marianne" w:hAnsi="Marianne" w:cs="Marianne"/>
          <w:color w:val="000000"/>
          <w:sz w:val="20"/>
          <w:szCs w:val="20"/>
        </w:rPr>
        <w:tab/>
        <w:t>Le remplacement de chaudière gaz doit être p</w:t>
      </w:r>
      <w:r>
        <w:rPr>
          <w:rFonts w:ascii="Marianne" w:eastAsia="Marianne" w:hAnsi="Marianne" w:cs="Marianne"/>
          <w:color w:val="000000"/>
          <w:sz w:val="20"/>
          <w:szCs w:val="20"/>
        </w:rPr>
        <w:t>articulièrement important, aujourd'hui 49% du mix énergétique du secteur résidentiel est assuré par le gaz.</w:t>
      </w:r>
    </w:p>
    <w:p w:rsidR="005C4DAE" w:rsidRDefault="00082D29">
      <w:pPr>
        <w:pStyle w:val="Titre1"/>
      </w:pPr>
      <w:bookmarkStart w:id="11" w:name="_Toc196829730"/>
      <w:r>
        <w:lastRenderedPageBreak/>
        <w:t>5 DIAGNOSTIC DU PARC TERTIAIRE</w:t>
      </w:r>
      <w:bookmarkEnd w:id="11"/>
    </w:p>
    <w:p w:rsidR="005C4DAE" w:rsidRDefault="00082D29">
      <w:pPr>
        <w:pStyle w:val="Titre2"/>
      </w:pPr>
      <w:bookmarkStart w:id="12" w:name="_Toc196829731"/>
      <w:r>
        <w:t>5.1 Part des consommations</w:t>
      </w:r>
      <w:bookmarkEnd w:id="12"/>
    </w:p>
    <w:p w:rsidR="005C4DAE" w:rsidRDefault="00082D29">
      <w:r>
        <w:rPr>
          <w:noProof/>
          <w:lang w:eastAsia="fr-FR"/>
        </w:rPr>
        <w:drawing>
          <wp:inline distT="0" distB="0" distL="0" distR="0">
            <wp:extent cx="5486400" cy="2743200"/>
            <wp:effectExtent l="0" t="0" r="0" b="0"/>
            <wp:docPr id="21" name="Imag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 w:line="240" w:lineRule="auto"/>
        <w:jc w:val="center"/>
      </w:pPr>
      <w:r>
        <w:rPr>
          <w:rFonts w:ascii="Calibri" w:eastAsia="Calibri" w:hAnsi="Calibri" w:cs="Calibri"/>
          <w:i/>
          <w:color w:val="000000"/>
          <w:sz w:val="18"/>
          <w:szCs w:val="18"/>
        </w:rPr>
        <w:t>Les consommations totales du territoire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En 2021, d'après la modélisation Airparif pour l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e ROSE les consommations du secteur tertiaire représentent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29 %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des consommations totales du territoire.</w:t>
      </w:r>
    </w:p>
    <w:p w:rsidR="005C4DAE" w:rsidRDefault="00082D29">
      <w:pPr>
        <w:pStyle w:val="Titre2"/>
      </w:pPr>
      <w:bookmarkStart w:id="13" w:name="_Toc196829732"/>
      <w:r>
        <w:t>5.2 Evolution des consommations du secteur tertiaire entre 2005 et 2021</w:t>
      </w:r>
      <w:bookmarkEnd w:id="13"/>
    </w:p>
    <w:p w:rsidR="005C4DAE" w:rsidRDefault="00082D29">
      <w:r>
        <w:rPr>
          <w:noProof/>
          <w:lang w:eastAsia="fr-FR"/>
        </w:rPr>
        <w:drawing>
          <wp:inline distT="0" distB="0" distL="0" distR="0">
            <wp:extent cx="5486400" cy="1828800"/>
            <wp:effectExtent l="0" t="0" r="0" b="0"/>
            <wp:docPr id="23" name="Imag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25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 w:line="240" w:lineRule="auto"/>
        <w:jc w:val="center"/>
      </w:pPr>
      <w:r>
        <w:rPr>
          <w:rFonts w:ascii="Calibri" w:eastAsia="Calibri" w:hAnsi="Calibri" w:cs="Calibri"/>
          <w:i/>
          <w:color w:val="000000"/>
          <w:sz w:val="18"/>
          <w:szCs w:val="18"/>
        </w:rPr>
        <w:t>Graphique sur l'évolution des consommations du secteur tertiaire entre 2005 e</w:t>
      </w:r>
      <w:r>
        <w:rPr>
          <w:rFonts w:ascii="Calibri" w:eastAsia="Calibri" w:hAnsi="Calibri" w:cs="Calibri"/>
          <w:i/>
          <w:color w:val="000000"/>
          <w:sz w:val="18"/>
          <w:szCs w:val="18"/>
        </w:rPr>
        <w:t>t 2021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 xml:space="preserve">Les consommations du secteur tertiaire sont passées de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55 623.42 GWh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en 2005 à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56 723.9 GWh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en 2021, soit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une augmentation de 2 %</w:t>
      </w:r>
      <w:r>
        <w:rPr>
          <w:rFonts w:ascii="Marianne" w:eastAsia="Marianne" w:hAnsi="Marianne" w:cs="Marianne"/>
          <w:color w:val="000000"/>
          <w:sz w:val="20"/>
          <w:szCs w:val="20"/>
        </w:rPr>
        <w:t>. On peut voir sur le graphique ci-dessus une forte augmentation entre 2005 et 2010, puis une période de baisse/stagnati</w:t>
      </w:r>
      <w:r>
        <w:rPr>
          <w:rFonts w:ascii="Marianne" w:eastAsia="Marianne" w:hAnsi="Marianne" w:cs="Marianne"/>
          <w:color w:val="000000"/>
          <w:sz w:val="20"/>
          <w:szCs w:val="20"/>
        </w:rPr>
        <w:t>on, ce qui correspond aux tendances nationales.</w:t>
      </w:r>
    </w:p>
    <w:p w:rsidR="005C4DAE" w:rsidRDefault="00082D29">
      <w:pPr>
        <w:pStyle w:val="Titre2"/>
      </w:pPr>
      <w:bookmarkStart w:id="14" w:name="_Toc196829733"/>
      <w:r>
        <w:lastRenderedPageBreak/>
        <w:t>5.3 Part des GES</w:t>
      </w:r>
      <w:bookmarkEnd w:id="14"/>
    </w:p>
    <w:p w:rsidR="005C4DAE" w:rsidRDefault="00082D29">
      <w:r>
        <w:rPr>
          <w:noProof/>
          <w:lang w:eastAsia="fr-FR"/>
        </w:rPr>
        <w:drawing>
          <wp:inline distT="0" distB="0" distL="0" distR="0">
            <wp:extent cx="5486400" cy="2743200"/>
            <wp:effectExtent l="0" t="0" r="0" b="0"/>
            <wp:docPr id="25" name="Imag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 w:line="240" w:lineRule="auto"/>
        <w:jc w:val="center"/>
      </w:pPr>
      <w:r>
        <w:rPr>
          <w:rFonts w:ascii="Calibri" w:eastAsia="Calibri" w:hAnsi="Calibri" w:cs="Calibri"/>
          <w:i/>
          <w:color w:val="000000"/>
          <w:sz w:val="18"/>
          <w:szCs w:val="18"/>
        </w:rPr>
        <w:t>Emissions de GES du territoire par secteur en kteq.CO2/an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 xml:space="preserve">En 2021, le secteur a émis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6851.4557 t eq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CO2 (scope 1&amp;2), soit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18 %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des émissions totales de GES du territoire (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3.742e+04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t  eq CO2).</w:t>
      </w:r>
    </w:p>
    <w:p w:rsidR="005C4DAE" w:rsidRDefault="00082D29">
      <w:pPr>
        <w:pStyle w:val="Titre2"/>
      </w:pPr>
      <w:bookmarkStart w:id="15" w:name="_Toc196829734"/>
      <w:r>
        <w:t>5.4 Evolution des émissions de gaz à effet de serre dans le secteur tertiaire entre 2005 et 2021</w:t>
      </w:r>
      <w:bookmarkEnd w:id="15"/>
    </w:p>
    <w:p w:rsidR="005C4DAE" w:rsidRDefault="00082D29">
      <w:r>
        <w:rPr>
          <w:noProof/>
          <w:lang w:eastAsia="fr-FR"/>
        </w:rPr>
        <w:drawing>
          <wp:inline distT="0" distB="0" distL="0" distR="0">
            <wp:extent cx="5486400" cy="1828800"/>
            <wp:effectExtent l="0" t="0" r="0" b="0"/>
            <wp:docPr id="27" name="Imag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25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 w:line="240" w:lineRule="auto"/>
        <w:jc w:val="center"/>
      </w:pPr>
      <w:r>
        <w:rPr>
          <w:rFonts w:ascii="Calibri" w:eastAsia="Calibri" w:hAnsi="Calibri" w:cs="Calibri"/>
          <w:i/>
          <w:color w:val="000000"/>
          <w:sz w:val="18"/>
          <w:szCs w:val="18"/>
        </w:rPr>
        <w:t>Graphique sur l'évolution des émissions de gaz à effet de serre dans le secteur tertiaire entre 2005 et 2021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Les émissions de gaz à effet de ser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re (scope 1&amp;2) du secteur tertiaire sont passées de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7207.1644 t eq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CO2 en 2005 à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6851.4557 t eq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CO2 en 2021, soit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une baisse de -5 %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sur la période. On observe une hausse jusqu'en 2010, puis une baisse/stagnation ensuite.</w:t>
      </w:r>
    </w:p>
    <w:p w:rsidR="005C4DAE" w:rsidRDefault="00082D29">
      <w:pPr>
        <w:pStyle w:val="Titre2"/>
      </w:pPr>
      <w:bookmarkStart w:id="16" w:name="_Toc196829735"/>
      <w:r>
        <w:lastRenderedPageBreak/>
        <w:t>5.5 Description du parc, et compar</w:t>
      </w:r>
      <w:r>
        <w:t>aison Ile-de-France</w:t>
      </w:r>
      <w:bookmarkEnd w:id="16"/>
    </w:p>
    <w:p w:rsidR="005C4DAE" w:rsidRDefault="00082D29">
      <w:r>
        <w:rPr>
          <w:noProof/>
          <w:lang w:eastAsia="fr-FR"/>
        </w:rPr>
        <w:drawing>
          <wp:inline distT="0" distB="0" distL="0" distR="0">
            <wp:extent cx="5486400" cy="3657600"/>
            <wp:effectExtent l="0" t="0" r="0" b="0"/>
            <wp:docPr id="29" name="Imag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50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 w:line="240" w:lineRule="auto"/>
        <w:jc w:val="center"/>
      </w:pPr>
      <w:r>
        <w:rPr>
          <w:rFonts w:ascii="Calibri" w:eastAsia="Calibri" w:hAnsi="Calibri" w:cs="Calibri"/>
          <w:i/>
          <w:color w:val="000000"/>
          <w:sz w:val="18"/>
          <w:szCs w:val="18"/>
        </w:rPr>
        <w:t>Répartition des surfaces du tertiaire en Ile-de-France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100" w:after="4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Le parc tertiaire dans le territoire Ile-de-France est composé des catégories majoritaires suivantes :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•   Enseignement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•   Bureaux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•   Commerce</w:t>
      </w:r>
    </w:p>
    <w:p w:rsidR="00501962" w:rsidRPr="00501962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" w:line="240" w:lineRule="auto"/>
        <w:rPr>
          <w:rFonts w:ascii="Marianne" w:eastAsia="Marianne" w:hAnsi="Marianne" w:cs="Marianne"/>
          <w:color w:val="000000"/>
          <w:sz w:val="20"/>
          <w:szCs w:val="20"/>
        </w:rPr>
      </w:pPr>
      <w:r>
        <w:rPr>
          <w:rFonts w:ascii="Marianne" w:eastAsia="Marianne" w:hAnsi="Marianne" w:cs="Marianne"/>
          <w:color w:val="000000"/>
          <w:sz w:val="20"/>
          <w:szCs w:val="20"/>
        </w:rPr>
        <w:t>•   Sport, Loisirs, Culture</w:t>
      </w:r>
    </w:p>
    <w:p w:rsidR="005C4DAE" w:rsidRDefault="00082D29">
      <w:pPr>
        <w:pStyle w:val="Titre2"/>
      </w:pPr>
      <w:bookmarkStart w:id="17" w:name="_Toc196829736"/>
      <w:r>
        <w:t>5.6 Mix énergétique, et comparaison Ile-de-France</w:t>
      </w:r>
      <w:bookmarkEnd w:id="17"/>
    </w:p>
    <w:p w:rsidR="005C4DAE" w:rsidRDefault="00082D29">
      <w:r>
        <w:rPr>
          <w:noProof/>
          <w:lang w:eastAsia="fr-FR"/>
        </w:rPr>
        <w:drawing>
          <wp:inline distT="0" distB="0" distL="0" distR="0">
            <wp:extent cx="5486400" cy="2743200"/>
            <wp:effectExtent l="0" t="0" r="0" b="0"/>
            <wp:docPr id="31" name="Imag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120" w:line="240" w:lineRule="auto"/>
        <w:jc w:val="center"/>
      </w:pPr>
      <w:r>
        <w:rPr>
          <w:rFonts w:ascii="Calibri" w:eastAsia="Calibri" w:hAnsi="Calibri" w:cs="Calibri"/>
          <w:i/>
          <w:color w:val="000000"/>
          <w:sz w:val="18"/>
          <w:szCs w:val="18"/>
        </w:rPr>
        <w:lastRenderedPageBreak/>
        <w:t>Mix énergétique du chauffage du territoire Ile-de-France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 xml:space="preserve">En Ile-de-France,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35 %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du mix énergétique du secteur tertiaire sont assurées par le gaz naturel, et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4 %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par les produits pétroliers. On peut égalem</w:t>
      </w:r>
      <w:r>
        <w:rPr>
          <w:rFonts w:ascii="Marianne" w:eastAsia="Marianne" w:hAnsi="Marianne" w:cs="Marianne"/>
          <w:color w:val="000000"/>
          <w:sz w:val="20"/>
          <w:szCs w:val="20"/>
        </w:rPr>
        <w:t>ent noter la part importante des réseaux de chaleur urbains (8 %).</w:t>
      </w:r>
    </w:p>
    <w:p w:rsidR="005C4DAE" w:rsidRDefault="00082D29">
      <w:pPr>
        <w:pStyle w:val="Titre2"/>
      </w:pPr>
      <w:bookmarkStart w:id="18" w:name="_Toc196829737"/>
      <w:r>
        <w:t>5.7 Conclusion, leviers locaux</w:t>
      </w:r>
      <w:bookmarkEnd w:id="18"/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200" w:after="2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- Les consommations du secteur tertiaire ont augmenté entre 2005 et 2021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4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- Les secteurs majoritaires sur le territoire sont :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•   Bureaux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•   Enseignement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•   Sport, Loisirs, Culture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>•   Commerces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before="200" w:after="200" w:line="240" w:lineRule="auto"/>
      </w:pPr>
      <w:bookmarkStart w:id="19" w:name="_GoBack"/>
      <w:bookmarkEnd w:id="19"/>
      <w:r>
        <w:rPr>
          <w:rFonts w:ascii="Marianne" w:eastAsia="Marianne" w:hAnsi="Marianne" w:cs="Marianne"/>
          <w:color w:val="000000"/>
          <w:sz w:val="20"/>
          <w:szCs w:val="20"/>
        </w:rPr>
        <w:t>C'est donc sur ces secteurs qu'il faut concentrer les efforts.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 xml:space="preserve">- Le fioul est encore utilisé pour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4 %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des consommations.</w:t>
      </w:r>
    </w:p>
    <w:p w:rsidR="005C4DAE" w:rsidRDefault="00082D2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200" w:line="240" w:lineRule="auto"/>
      </w:pPr>
      <w:r>
        <w:rPr>
          <w:rFonts w:ascii="Marianne" w:eastAsia="Marianne" w:hAnsi="Marianne" w:cs="Marianne"/>
          <w:color w:val="000000"/>
          <w:sz w:val="20"/>
          <w:szCs w:val="20"/>
        </w:rPr>
        <w:t xml:space="preserve">- Une action forte doit être envisagée pour diminuer les consommations de gaz dans le tertiaire, en effet celui-ci est utilisé pour </w:t>
      </w:r>
      <w:r>
        <w:rPr>
          <w:rFonts w:ascii="Marianne" w:eastAsia="Marianne" w:hAnsi="Marianne" w:cs="Marianne"/>
          <w:color w:val="000000"/>
          <w:sz w:val="20"/>
          <w:szCs w:val="20"/>
          <w:shd w:val="clear" w:color="auto" w:fill="98F5F3"/>
        </w:rPr>
        <w:t>35 %</w:t>
      </w:r>
      <w:r>
        <w:rPr>
          <w:rFonts w:ascii="Marianne" w:eastAsia="Marianne" w:hAnsi="Marianne" w:cs="Marianne"/>
          <w:color w:val="000000"/>
          <w:sz w:val="20"/>
          <w:szCs w:val="20"/>
        </w:rPr>
        <w:t xml:space="preserve"> des consommations (tous usages confondus).</w:t>
      </w:r>
    </w:p>
    <w:sectPr w:rsidR="005C4DAE" w:rsidSect="00613FFB">
      <w:headerReference w:type="default" r:id="rId25"/>
      <w:footerReference w:type="default" r:id="rId26"/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2D29" w:rsidRDefault="00082D29">
      <w:pPr>
        <w:spacing w:after="0" w:line="240" w:lineRule="auto"/>
      </w:pPr>
      <w:r>
        <w:separator/>
      </w:r>
    </w:p>
  </w:endnote>
  <w:endnote w:type="continuationSeparator" w:id="0">
    <w:p w:rsidR="00082D29" w:rsidRDefault="00082D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rianne">
    <w:altName w:val="Calibri"/>
    <w:panose1 w:val="02000000000000000000"/>
    <w:charset w:val="00"/>
    <w:family w:val="auto"/>
    <w:pitch w:val="variable"/>
    <w:sig w:usb0="0000000F" w:usb1="00000000" w:usb2="00000000" w:usb3="00000000" w:csb0="00000003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11532581"/>
      <w:docPartObj>
        <w:docPartGallery w:val="Page Numbers (Bottom of Page)"/>
        <w:docPartUnique/>
      </w:docPartObj>
    </w:sdtPr>
    <w:sdtEndPr/>
    <w:sdtContent>
      <w:p w:rsidR="008E00D0" w:rsidRDefault="00082D29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01962">
          <w:rPr>
            <w:noProof/>
          </w:rPr>
          <w:t>1</w:t>
        </w:r>
        <w:r>
          <w:fldChar w:fldCharType="end"/>
        </w:r>
      </w:p>
    </w:sdtContent>
  </w:sdt>
  <w:p w:rsidR="008E00D0" w:rsidRDefault="00082D29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2D29" w:rsidRDefault="00082D29">
      <w:pPr>
        <w:spacing w:after="0" w:line="240" w:lineRule="auto"/>
      </w:pPr>
      <w:r>
        <w:separator/>
      </w:r>
    </w:p>
  </w:footnote>
  <w:footnote w:type="continuationSeparator" w:id="0">
    <w:p w:rsidR="00082D29" w:rsidRDefault="00082D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29D0" w:rsidRPr="009129D0" w:rsidRDefault="00082D29" w:rsidP="009129D0">
    <w:pPr>
      <w:spacing w:after="0" w:line="240" w:lineRule="auto"/>
      <w:rPr>
        <w:rFonts w:ascii="Aptos" w:eastAsia="Aptos" w:hAnsi="Aptos" w:cs="Arial"/>
      </w:rPr>
    </w:pPr>
    <w:r w:rsidRPr="009129D0">
      <w:rPr>
        <w:rFonts w:ascii="Marianne" w:eastAsia="Marianne" w:hAnsi="Marianne" w:cs="Marianne"/>
        <w:color w:val="7E7F80"/>
        <w:sz w:val="16"/>
        <w:szCs w:val="16"/>
      </w:rPr>
      <w:t>Profil</w:t>
    </w:r>
    <w:r w:rsidRPr="009129D0">
      <w:rPr>
        <w:rFonts w:ascii="Marianne" w:eastAsia="Marianne" w:hAnsi="Marianne" w:cs="Marianne"/>
        <w:color w:val="7E7F80"/>
        <w:sz w:val="16"/>
        <w:szCs w:val="16"/>
      </w:rPr>
      <w:t xml:space="preserve"> de territoire sur les enjeux de rénovation énergétique du bâtiment</w:t>
    </w:r>
  </w:p>
  <w:p w:rsidR="009129D0" w:rsidRDefault="00082D29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4DAE"/>
    <w:rsid w:val="00082D29"/>
    <w:rsid w:val="00501962"/>
    <w:rsid w:val="005C4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31AEB9"/>
  <w15:docId w15:val="{4F91E121-67A3-4A6B-9C3C-F1D78E632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link w:val="Titre1Car"/>
    <w:uiPriority w:val="9"/>
    <w:qFormat/>
    <w:rsid w:val="00922E30"/>
    <w:pPr>
      <w:keepNext/>
      <w:keepLines/>
      <w:spacing w:before="400" w:after="200"/>
      <w:outlineLvl w:val="0"/>
    </w:pPr>
    <w:rPr>
      <w:rFonts w:ascii="Marianne" w:eastAsiaTheme="majorEastAsia" w:hAnsi="Marianne" w:cstheme="majorBidi"/>
      <w:b/>
      <w:i/>
      <w:color w:val="000000" w:themeColor="text1"/>
      <w:sz w:val="26"/>
      <w:szCs w:val="40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086707"/>
    <w:pPr>
      <w:keepNext/>
      <w:keepLines/>
      <w:spacing w:before="300" w:after="300"/>
      <w:outlineLvl w:val="1"/>
    </w:pPr>
    <w:rPr>
      <w:rFonts w:ascii="Marianne" w:eastAsiaTheme="majorEastAsia" w:hAnsi="Marianne" w:cstheme="majorBidi"/>
      <w:sz w:val="20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8E00D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8E00D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8E00D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8E00D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8E00D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8E00D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8E00D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922E30"/>
    <w:rPr>
      <w:rFonts w:ascii="Marianne" w:eastAsiaTheme="majorEastAsia" w:hAnsi="Marianne" w:cstheme="majorBidi"/>
      <w:b/>
      <w:i/>
      <w:color w:val="000000" w:themeColor="text1"/>
      <w:sz w:val="26"/>
      <w:szCs w:val="40"/>
    </w:rPr>
  </w:style>
  <w:style w:type="character" w:customStyle="1" w:styleId="Titre2Car">
    <w:name w:val="Titre 2 Car"/>
    <w:basedOn w:val="Policepardfaut"/>
    <w:link w:val="Titre2"/>
    <w:uiPriority w:val="9"/>
    <w:rsid w:val="00086707"/>
    <w:rPr>
      <w:rFonts w:ascii="Marianne" w:eastAsiaTheme="majorEastAsia" w:hAnsi="Marianne" w:cstheme="majorBidi"/>
      <w:sz w:val="20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8E00D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8E00D0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8E00D0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8E00D0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8E00D0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8E00D0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8E00D0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8E00D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8E00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8E00D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8E00D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8E00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8E00D0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8E00D0"/>
    <w:pPr>
      <w:ind w:left="720"/>
      <w:contextualSpacing/>
    </w:pPr>
  </w:style>
  <w:style w:type="character" w:styleId="Emphaseintense">
    <w:name w:val="Intense Emphasis"/>
    <w:basedOn w:val="Policepardfaut"/>
    <w:uiPriority w:val="21"/>
    <w:qFormat/>
    <w:rsid w:val="008E00D0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8E00D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8E00D0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8E00D0"/>
    <w:rPr>
      <w:b/>
      <w:bCs/>
      <w:smallCaps/>
      <w:color w:val="0F4761" w:themeColor="accent1" w:themeShade="BF"/>
      <w:spacing w:val="5"/>
    </w:rPr>
  </w:style>
  <w:style w:type="paragraph" w:styleId="En-tte">
    <w:name w:val="header"/>
    <w:basedOn w:val="Normal"/>
    <w:link w:val="En-tteCar"/>
    <w:uiPriority w:val="99"/>
    <w:unhideWhenUsed/>
    <w:rsid w:val="008E00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E00D0"/>
  </w:style>
  <w:style w:type="paragraph" w:styleId="Pieddepage">
    <w:name w:val="footer"/>
    <w:basedOn w:val="Normal"/>
    <w:link w:val="PieddepageCar"/>
    <w:uiPriority w:val="99"/>
    <w:unhideWhenUsed/>
    <w:rsid w:val="008E00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E00D0"/>
  </w:style>
  <w:style w:type="paragraph" w:styleId="TM1">
    <w:name w:val="toc 1"/>
    <w:basedOn w:val="Normal"/>
    <w:next w:val="Normal"/>
    <w:autoRedefine/>
    <w:uiPriority w:val="39"/>
    <w:unhideWhenUsed/>
    <w:rsid w:val="00501962"/>
    <w:pPr>
      <w:spacing w:after="100"/>
    </w:pPr>
  </w:style>
  <w:style w:type="paragraph" w:styleId="TM2">
    <w:name w:val="toc 2"/>
    <w:basedOn w:val="Normal"/>
    <w:next w:val="Normal"/>
    <w:autoRedefine/>
    <w:uiPriority w:val="39"/>
    <w:unhideWhenUsed/>
    <w:rsid w:val="00501962"/>
    <w:pPr>
      <w:spacing w:after="100"/>
      <w:ind w:left="220"/>
    </w:pPr>
  </w:style>
  <w:style w:type="character" w:styleId="Lienhypertexte">
    <w:name w:val="Hyperlink"/>
    <w:basedOn w:val="Policepardfaut"/>
    <w:uiPriority w:val="99"/>
    <w:unhideWhenUsed/>
    <w:rsid w:val="00501962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939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5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83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sm-ecologie.shinyapps.io/batistato/" TargetMode="Externa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footer" Target="footer1.xml"/><Relationship Id="rId3" Type="http://schemas.openxmlformats.org/officeDocument/2006/relationships/webSettings" Target="webSettings.xml"/><Relationship Id="rId21" Type="http://schemas.openxmlformats.org/officeDocument/2006/relationships/image" Target="media/image11.png"/><Relationship Id="rId7" Type="http://schemas.openxmlformats.org/officeDocument/2006/relationships/hyperlink" Target="https://ssm-ecologie.shinyapps.io/batistato/" TargetMode="Externa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image" Target="media/image7.png"/><Relationship Id="rId20" Type="http://schemas.openxmlformats.org/officeDocument/2006/relationships/hyperlink" Target="https://www.statistiques.developpement-durable.gouv.fr/media/6820/download?inline" TargetMode="Externa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2.png"/><Relationship Id="rId24" Type="http://schemas.openxmlformats.org/officeDocument/2006/relationships/image" Target="media/image14.png"/><Relationship Id="rId5" Type="http://schemas.openxmlformats.org/officeDocument/2006/relationships/endnotes" Target="endnotes.xml"/><Relationship Id="rId15" Type="http://schemas.openxmlformats.org/officeDocument/2006/relationships/image" Target="media/image6.png"/><Relationship Id="rId23" Type="http://schemas.openxmlformats.org/officeDocument/2006/relationships/image" Target="media/image13.png"/><Relationship Id="rId28" Type="http://schemas.openxmlformats.org/officeDocument/2006/relationships/theme" Target="theme/theme1.xml"/><Relationship Id="rId10" Type="http://schemas.openxmlformats.org/officeDocument/2006/relationships/hyperlink" Target="https://www.drieat.ile-de-france.developpement-durable.gouv.fr/contexte-de-la-renovation-energetique-en-ile-de-a12701.html" TargetMode="External"/><Relationship Id="rId19" Type="http://schemas.openxmlformats.org/officeDocument/2006/relationships/image" Target="media/image10.png"/><Relationship Id="rId4" Type="http://schemas.openxmlformats.org/officeDocument/2006/relationships/footnotes" Target="footnotes.xml"/><Relationship Id="rId9" Type="http://schemas.openxmlformats.org/officeDocument/2006/relationships/hyperlink" Target="http://sigr.iau-idf.fr/webapps/cartes/rose/documents/20210414_AIRPARIF_Methode_ENERGIF.pdf" TargetMode="External"/><Relationship Id="rId14" Type="http://schemas.openxmlformats.org/officeDocument/2006/relationships/image" Target="media/image5.png"/><Relationship Id="rId22" Type="http://schemas.openxmlformats.org/officeDocument/2006/relationships/image" Target="media/image12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12</Pages>
  <Words>1811</Words>
  <Characters>9962</Characters>
  <Application>Microsoft Office Word</Application>
  <DocSecurity>0</DocSecurity>
  <Lines>83</Lines>
  <Paragraphs>23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 Perrier</dc:creator>
  <cp:keywords/>
  <dc:description/>
  <cp:lastModifiedBy>RESAN Anaïs</cp:lastModifiedBy>
  <cp:revision>7</cp:revision>
  <cp:lastPrinted>2025-04-29T12:40:00Z</cp:lastPrinted>
  <dcterms:created xsi:type="dcterms:W3CDTF">2024-09-04T12:13:00Z</dcterms:created>
  <dcterms:modified xsi:type="dcterms:W3CDTF">2025-04-29T12:42:00Z</dcterms:modified>
</cp:coreProperties>
</file>